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6198" w:rsidRDefault="00D76198">
      <w:pPr>
        <w:spacing w:after="0" w:line="259" w:lineRule="auto"/>
        <w:rPr>
          <w:rFonts w:ascii="Arial" w:eastAsia="Arial" w:hAnsi="Arial" w:cs="Arial"/>
          <w:b/>
          <w:sz w:val="36"/>
          <w:szCs w:val="36"/>
        </w:rPr>
      </w:pPr>
      <w:bookmarkStart w:id="0" w:name="_GoBack"/>
      <w:bookmarkEnd w:id="0"/>
    </w:p>
    <w:p w:rsidR="00D76198" w:rsidRPr="00D652A1" w:rsidRDefault="002F7E5A">
      <w:pPr>
        <w:pStyle w:val="Title"/>
        <w:spacing w:after="0" w:line="259" w:lineRule="auto"/>
        <w:rPr>
          <w:rFonts w:ascii="Arial" w:hAnsi="Arial" w:cs="Arial"/>
          <w:sz w:val="36"/>
          <w:szCs w:val="36"/>
        </w:rPr>
      </w:pPr>
      <w:r w:rsidRPr="00D652A1">
        <w:rPr>
          <w:rFonts w:ascii="Arial" w:hAnsi="Arial" w:cs="Arial"/>
          <w:sz w:val="36"/>
          <w:szCs w:val="36"/>
        </w:rPr>
        <w:t>Framework Schedule 1 (Specification)</w:t>
      </w:r>
    </w:p>
    <w:p w:rsidR="00D76198" w:rsidRPr="00D652A1" w:rsidRDefault="002F7E5A">
      <w:pPr>
        <w:pStyle w:val="Title"/>
        <w:spacing w:after="0" w:line="259" w:lineRule="auto"/>
        <w:rPr>
          <w:rFonts w:ascii="Arial" w:hAnsi="Arial" w:cs="Arial"/>
          <w:sz w:val="36"/>
          <w:szCs w:val="36"/>
        </w:rPr>
      </w:pPr>
      <w:bookmarkStart w:id="1" w:name="_heading=h.30j0zll" w:colFirst="0" w:colLast="0"/>
      <w:bookmarkEnd w:id="1"/>
      <w:r w:rsidRPr="00D652A1">
        <w:rPr>
          <w:rFonts w:ascii="Arial" w:hAnsi="Arial" w:cs="Arial"/>
          <w:sz w:val="36"/>
          <w:szCs w:val="36"/>
        </w:rPr>
        <w:t>RM6193 Software Design and Implementation Services</w:t>
      </w:r>
    </w:p>
    <w:p w:rsidR="00D76198" w:rsidRDefault="002F7E5A">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Schedule sets out what we and our buyers want.</w:t>
      </w:r>
    </w:p>
    <w:p w:rsidR="00D76198" w:rsidRDefault="002F7E5A">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Lot that they have been appointed to. </w:t>
      </w:r>
    </w:p>
    <w:p w:rsidR="00D76198" w:rsidRDefault="002F7E5A">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For all Deliverables, the Supplier must help Buyers comply with any specific applicable Standards </w:t>
      </w:r>
      <w:r>
        <w:rPr>
          <w:rFonts w:ascii="Arial" w:eastAsia="Arial" w:hAnsi="Arial" w:cs="Arial"/>
          <w:sz w:val="24"/>
          <w:szCs w:val="24"/>
        </w:rPr>
        <w:t>to</w:t>
      </w:r>
      <w:r>
        <w:rPr>
          <w:rFonts w:ascii="Arial" w:eastAsia="Arial" w:hAnsi="Arial" w:cs="Arial"/>
          <w:color w:val="000000"/>
          <w:sz w:val="24"/>
          <w:szCs w:val="24"/>
        </w:rPr>
        <w:t xml:space="preserve"> the Buyer.</w:t>
      </w:r>
    </w:p>
    <w:p w:rsidR="00D76198" w:rsidRDefault="002F7E5A">
      <w:pPr>
        <w:pBdr>
          <w:top w:val="nil"/>
          <w:left w:val="nil"/>
          <w:bottom w:val="nil"/>
          <w:right w:val="nil"/>
          <w:between w:val="nil"/>
        </w:pBdr>
        <w:tabs>
          <w:tab w:val="left" w:pos="709"/>
          <w:tab w:val="left" w:pos="284"/>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The Deliverables and any Standards set out in the Paragraphs below may be refined (to the extent permitted and set out in the Order Form) by a Buyer during a Further Competition Procedure to reflect its Deliverables Requirements for entering a particular Call-Off Contract.</w:t>
      </w:r>
    </w:p>
    <w:p w:rsidR="00D652A1" w:rsidRPr="00AC552B" w:rsidRDefault="002F7E5A" w:rsidP="00D652A1">
      <w:pPr>
        <w:pBdr>
          <w:top w:val="nil"/>
          <w:left w:val="nil"/>
          <w:bottom w:val="nil"/>
          <w:right w:val="nil"/>
          <w:between w:val="nil"/>
        </w:pBdr>
        <w:tabs>
          <w:tab w:val="left" w:pos="1134"/>
        </w:tabs>
        <w:spacing w:before="120" w:after="120" w:line="240" w:lineRule="auto"/>
        <w:rPr>
          <w:rFonts w:ascii="Arial" w:eastAsia="Arial" w:hAnsi="Arial" w:cs="Arial"/>
          <w:b/>
          <w:sz w:val="24"/>
          <w:szCs w:val="24"/>
        </w:rPr>
      </w:pPr>
      <w:r>
        <w:br w:type="page"/>
      </w:r>
      <w:r w:rsidR="00D652A1" w:rsidRPr="00AC552B">
        <w:rPr>
          <w:rFonts w:ascii="Arial" w:eastAsia="Arial" w:hAnsi="Arial" w:cs="Arial"/>
          <w:b/>
          <w:sz w:val="24"/>
          <w:szCs w:val="24"/>
        </w:rPr>
        <w:lastRenderedPageBreak/>
        <w:t>Contents Page</w:t>
      </w:r>
    </w:p>
    <w:sdt>
      <w:sdtPr>
        <w:rPr>
          <w:rFonts w:ascii="Arial" w:hAnsi="Arial" w:cs="Arial"/>
          <w:sz w:val="24"/>
          <w:szCs w:val="24"/>
        </w:rPr>
        <w:id w:val="685027192"/>
        <w:docPartObj>
          <w:docPartGallery w:val="Table of Contents"/>
          <w:docPartUnique/>
        </w:docPartObj>
      </w:sdtPr>
      <w:sdtEndPr/>
      <w:sdtContent>
        <w:p w:rsidR="00D652A1" w:rsidRPr="00AC552B" w:rsidRDefault="00D652A1" w:rsidP="00D652A1">
          <w:pPr>
            <w:tabs>
              <w:tab w:val="right" w:pos="9025"/>
            </w:tabs>
            <w:spacing w:before="80" w:line="240" w:lineRule="auto"/>
            <w:rPr>
              <w:rFonts w:ascii="Arial" w:hAnsi="Arial" w:cs="Arial"/>
              <w:noProof/>
              <w:sz w:val="24"/>
              <w:szCs w:val="24"/>
            </w:rPr>
          </w:pPr>
          <w:r w:rsidRPr="00AC552B">
            <w:rPr>
              <w:rFonts w:ascii="Arial" w:hAnsi="Arial" w:cs="Arial"/>
              <w:sz w:val="24"/>
              <w:szCs w:val="24"/>
            </w:rPr>
            <w:fldChar w:fldCharType="begin"/>
          </w:r>
          <w:r w:rsidRPr="00AC552B">
            <w:rPr>
              <w:rFonts w:ascii="Arial" w:hAnsi="Arial" w:cs="Arial"/>
              <w:sz w:val="24"/>
              <w:szCs w:val="24"/>
            </w:rPr>
            <w:instrText xml:space="preserve"> TOC \h \u \z </w:instrText>
          </w:r>
          <w:r w:rsidRPr="00AC552B">
            <w:rPr>
              <w:rFonts w:ascii="Arial" w:hAnsi="Arial" w:cs="Arial"/>
              <w:sz w:val="24"/>
              <w:szCs w:val="24"/>
            </w:rPr>
            <w:fldChar w:fldCharType="separate"/>
          </w:r>
          <w:hyperlink w:anchor="_heading=h.affkk0gje8fd">
            <w:r w:rsidRPr="00AC552B">
              <w:rPr>
                <w:rFonts w:ascii="Arial" w:hAnsi="Arial" w:cs="Arial"/>
                <w:b/>
                <w:noProof/>
                <w:sz w:val="24"/>
                <w:szCs w:val="24"/>
              </w:rPr>
              <w:t>1. Summary</w:t>
            </w:r>
          </w:hyperlink>
          <w:r w:rsidRPr="00AC552B">
            <w:rPr>
              <w:rFonts w:ascii="Arial" w:hAnsi="Arial" w:cs="Arial"/>
              <w:b/>
              <w:noProof/>
              <w:sz w:val="24"/>
              <w:szCs w:val="24"/>
            </w:rPr>
            <w:tab/>
          </w:r>
          <w:r w:rsidRPr="00AC552B">
            <w:rPr>
              <w:rFonts w:ascii="Arial" w:hAnsi="Arial" w:cs="Arial"/>
              <w:noProof/>
              <w:sz w:val="24"/>
              <w:szCs w:val="24"/>
            </w:rPr>
            <w:fldChar w:fldCharType="begin"/>
          </w:r>
          <w:r w:rsidRPr="00AC552B">
            <w:rPr>
              <w:rFonts w:ascii="Arial" w:hAnsi="Arial" w:cs="Arial"/>
              <w:noProof/>
              <w:sz w:val="24"/>
              <w:szCs w:val="24"/>
            </w:rPr>
            <w:instrText xml:space="preserve"> PAGEREF _heading=h.affkk0gje8fd \h </w:instrText>
          </w:r>
          <w:r w:rsidRPr="00AC552B">
            <w:rPr>
              <w:rFonts w:ascii="Arial" w:hAnsi="Arial" w:cs="Arial"/>
              <w:noProof/>
              <w:sz w:val="24"/>
              <w:szCs w:val="24"/>
            </w:rPr>
          </w:r>
          <w:r w:rsidRPr="00AC552B">
            <w:rPr>
              <w:rFonts w:ascii="Arial" w:hAnsi="Arial" w:cs="Arial"/>
              <w:noProof/>
              <w:sz w:val="24"/>
              <w:szCs w:val="24"/>
            </w:rPr>
            <w:fldChar w:fldCharType="separate"/>
          </w:r>
          <w:r>
            <w:rPr>
              <w:rFonts w:ascii="Arial" w:hAnsi="Arial" w:cs="Arial"/>
              <w:noProof/>
              <w:sz w:val="24"/>
              <w:szCs w:val="24"/>
            </w:rPr>
            <w:t>4</w:t>
          </w:r>
          <w:r w:rsidRPr="00AC552B">
            <w:rPr>
              <w:rFonts w:ascii="Arial" w:hAnsi="Arial" w:cs="Arial"/>
              <w:noProof/>
              <w:sz w:val="24"/>
              <w:szCs w:val="24"/>
            </w:rPr>
            <w:fldChar w:fldCharType="end"/>
          </w:r>
        </w:p>
        <w:p w:rsidR="00D652A1" w:rsidRPr="00AC552B" w:rsidRDefault="00931C68" w:rsidP="00D652A1">
          <w:pPr>
            <w:tabs>
              <w:tab w:val="right" w:pos="9025"/>
            </w:tabs>
            <w:spacing w:before="200" w:line="240" w:lineRule="auto"/>
            <w:rPr>
              <w:rFonts w:ascii="Arial" w:hAnsi="Arial" w:cs="Arial"/>
              <w:noProof/>
              <w:sz w:val="24"/>
              <w:szCs w:val="24"/>
            </w:rPr>
          </w:pPr>
          <w:hyperlink w:anchor="_heading=h.ptd278bpmg0o">
            <w:r w:rsidR="00D652A1" w:rsidRPr="00AC552B">
              <w:rPr>
                <w:rFonts w:ascii="Arial" w:hAnsi="Arial" w:cs="Arial"/>
                <w:b/>
                <w:noProof/>
                <w:sz w:val="24"/>
                <w:szCs w:val="24"/>
              </w:rPr>
              <w:t>2.  Deliverables</w:t>
            </w:r>
          </w:hyperlink>
          <w:r w:rsidR="00D652A1" w:rsidRPr="00AC552B">
            <w:rPr>
              <w:rFonts w:ascii="Arial" w:hAnsi="Arial" w:cs="Arial"/>
              <w:b/>
              <w:noProof/>
              <w:sz w:val="24"/>
              <w:szCs w:val="24"/>
            </w:rPr>
            <w:tab/>
          </w:r>
          <w:r w:rsidR="00D652A1" w:rsidRPr="00AC552B">
            <w:rPr>
              <w:rFonts w:ascii="Arial" w:hAnsi="Arial" w:cs="Arial"/>
              <w:noProof/>
              <w:sz w:val="24"/>
              <w:szCs w:val="24"/>
            </w:rPr>
            <w:fldChar w:fldCharType="begin"/>
          </w:r>
          <w:r w:rsidR="00D652A1" w:rsidRPr="00AC552B">
            <w:rPr>
              <w:rFonts w:ascii="Arial" w:hAnsi="Arial" w:cs="Arial"/>
              <w:noProof/>
              <w:sz w:val="24"/>
              <w:szCs w:val="24"/>
            </w:rPr>
            <w:instrText xml:space="preserve"> PAGEREF _heading=h.ptd278bpmg0o \h </w:instrText>
          </w:r>
          <w:r w:rsidR="00D652A1" w:rsidRPr="00AC552B">
            <w:rPr>
              <w:rFonts w:ascii="Arial" w:hAnsi="Arial" w:cs="Arial"/>
              <w:noProof/>
              <w:sz w:val="24"/>
              <w:szCs w:val="24"/>
            </w:rPr>
          </w:r>
          <w:r w:rsidR="00D652A1" w:rsidRPr="00AC552B">
            <w:rPr>
              <w:rFonts w:ascii="Arial" w:hAnsi="Arial" w:cs="Arial"/>
              <w:noProof/>
              <w:sz w:val="24"/>
              <w:szCs w:val="24"/>
            </w:rPr>
            <w:fldChar w:fldCharType="separate"/>
          </w:r>
          <w:r w:rsidR="00D652A1">
            <w:rPr>
              <w:rFonts w:ascii="Arial" w:hAnsi="Arial" w:cs="Arial"/>
              <w:noProof/>
              <w:sz w:val="24"/>
              <w:szCs w:val="24"/>
            </w:rPr>
            <w:t>5</w:t>
          </w:r>
          <w:r w:rsidR="00D652A1" w:rsidRPr="00AC552B">
            <w:rPr>
              <w:rFonts w:ascii="Arial" w:hAnsi="Arial" w:cs="Arial"/>
              <w:noProof/>
              <w:sz w:val="24"/>
              <w:szCs w:val="24"/>
            </w:rPr>
            <w:fldChar w:fldCharType="end"/>
          </w:r>
        </w:p>
        <w:p w:rsidR="00D652A1" w:rsidRPr="00AC552B" w:rsidRDefault="00931C68" w:rsidP="00D652A1">
          <w:pPr>
            <w:tabs>
              <w:tab w:val="right" w:pos="9025"/>
            </w:tabs>
            <w:spacing w:before="200" w:line="240" w:lineRule="auto"/>
            <w:rPr>
              <w:rFonts w:ascii="Arial" w:hAnsi="Arial" w:cs="Arial"/>
              <w:noProof/>
              <w:sz w:val="24"/>
              <w:szCs w:val="24"/>
            </w:rPr>
          </w:pPr>
          <w:hyperlink w:anchor="_heading=h.7w887apwchu3">
            <w:r w:rsidR="00D652A1" w:rsidRPr="00AC552B">
              <w:rPr>
                <w:rFonts w:ascii="Arial" w:hAnsi="Arial" w:cs="Arial"/>
                <w:b/>
                <w:noProof/>
                <w:sz w:val="24"/>
                <w:szCs w:val="24"/>
              </w:rPr>
              <w:t>3.   Standards and Accreditations</w:t>
            </w:r>
          </w:hyperlink>
          <w:r w:rsidR="00D652A1" w:rsidRPr="00AC552B">
            <w:rPr>
              <w:rFonts w:ascii="Arial" w:hAnsi="Arial" w:cs="Arial"/>
              <w:b/>
              <w:noProof/>
              <w:sz w:val="24"/>
              <w:szCs w:val="24"/>
            </w:rPr>
            <w:tab/>
          </w:r>
          <w:r w:rsidR="00D652A1" w:rsidRPr="00AC552B">
            <w:rPr>
              <w:rFonts w:ascii="Arial" w:hAnsi="Arial" w:cs="Arial"/>
              <w:noProof/>
              <w:sz w:val="24"/>
              <w:szCs w:val="24"/>
            </w:rPr>
            <w:fldChar w:fldCharType="begin"/>
          </w:r>
          <w:r w:rsidR="00D652A1" w:rsidRPr="00AC552B">
            <w:rPr>
              <w:rFonts w:ascii="Arial" w:hAnsi="Arial" w:cs="Arial"/>
              <w:noProof/>
              <w:sz w:val="24"/>
              <w:szCs w:val="24"/>
            </w:rPr>
            <w:instrText xml:space="preserve"> PAGEREF _heading=h.7w887apwchu3 \h </w:instrText>
          </w:r>
          <w:r w:rsidR="00D652A1" w:rsidRPr="00AC552B">
            <w:rPr>
              <w:rFonts w:ascii="Arial" w:hAnsi="Arial" w:cs="Arial"/>
              <w:noProof/>
              <w:sz w:val="24"/>
              <w:szCs w:val="24"/>
            </w:rPr>
          </w:r>
          <w:r w:rsidR="00D652A1" w:rsidRPr="00AC552B">
            <w:rPr>
              <w:rFonts w:ascii="Arial" w:hAnsi="Arial" w:cs="Arial"/>
              <w:noProof/>
              <w:sz w:val="24"/>
              <w:szCs w:val="24"/>
            </w:rPr>
            <w:fldChar w:fldCharType="separate"/>
          </w:r>
          <w:r w:rsidR="00D652A1">
            <w:rPr>
              <w:rFonts w:ascii="Arial" w:hAnsi="Arial" w:cs="Arial"/>
              <w:noProof/>
              <w:sz w:val="24"/>
              <w:szCs w:val="24"/>
            </w:rPr>
            <w:t>13</w:t>
          </w:r>
          <w:r w:rsidR="00D652A1" w:rsidRPr="00AC552B">
            <w:rPr>
              <w:rFonts w:ascii="Arial" w:hAnsi="Arial" w:cs="Arial"/>
              <w:noProof/>
              <w:sz w:val="24"/>
              <w:szCs w:val="24"/>
            </w:rPr>
            <w:fldChar w:fldCharType="end"/>
          </w:r>
        </w:p>
        <w:p w:rsidR="00D652A1" w:rsidRPr="00AC552B" w:rsidRDefault="00931C68" w:rsidP="00D652A1">
          <w:pPr>
            <w:tabs>
              <w:tab w:val="right" w:pos="9025"/>
            </w:tabs>
            <w:spacing w:before="200" w:line="240" w:lineRule="auto"/>
            <w:rPr>
              <w:rFonts w:ascii="Arial" w:hAnsi="Arial" w:cs="Arial"/>
              <w:b/>
              <w:noProof/>
              <w:color w:val="000000"/>
              <w:sz w:val="24"/>
              <w:szCs w:val="24"/>
            </w:rPr>
          </w:pPr>
          <w:hyperlink w:anchor="_heading=h.1fob9te">
            <w:r w:rsidR="00D652A1" w:rsidRPr="00AC552B">
              <w:rPr>
                <w:rFonts w:ascii="Arial" w:hAnsi="Arial" w:cs="Arial"/>
                <w:b/>
                <w:noProof/>
                <w:color w:val="000000"/>
                <w:sz w:val="24"/>
                <w:szCs w:val="24"/>
              </w:rPr>
              <w:t>4. Social Value</w:t>
            </w:r>
          </w:hyperlink>
          <w:r w:rsidR="00D652A1" w:rsidRPr="00AC552B">
            <w:rPr>
              <w:rFonts w:ascii="Arial" w:hAnsi="Arial" w:cs="Arial"/>
              <w:b/>
              <w:noProof/>
              <w:color w:val="000000"/>
              <w:sz w:val="24"/>
              <w:szCs w:val="24"/>
            </w:rPr>
            <w:tab/>
          </w:r>
          <w:r w:rsidR="00D652A1" w:rsidRPr="00AC552B">
            <w:rPr>
              <w:rFonts w:ascii="Arial" w:hAnsi="Arial" w:cs="Arial"/>
              <w:noProof/>
              <w:sz w:val="24"/>
              <w:szCs w:val="24"/>
            </w:rPr>
            <w:fldChar w:fldCharType="begin"/>
          </w:r>
          <w:r w:rsidR="00D652A1" w:rsidRPr="00AC552B">
            <w:rPr>
              <w:rFonts w:ascii="Arial" w:hAnsi="Arial" w:cs="Arial"/>
              <w:noProof/>
              <w:sz w:val="24"/>
              <w:szCs w:val="24"/>
            </w:rPr>
            <w:instrText xml:space="preserve"> PAGEREF _heading=h.1fob9te \h </w:instrText>
          </w:r>
          <w:r w:rsidR="00D652A1" w:rsidRPr="00AC552B">
            <w:rPr>
              <w:rFonts w:ascii="Arial" w:hAnsi="Arial" w:cs="Arial"/>
              <w:noProof/>
              <w:sz w:val="24"/>
              <w:szCs w:val="24"/>
            </w:rPr>
          </w:r>
          <w:r w:rsidR="00D652A1" w:rsidRPr="00AC552B">
            <w:rPr>
              <w:rFonts w:ascii="Arial" w:hAnsi="Arial" w:cs="Arial"/>
              <w:noProof/>
              <w:sz w:val="24"/>
              <w:szCs w:val="24"/>
            </w:rPr>
            <w:fldChar w:fldCharType="separate"/>
          </w:r>
          <w:r w:rsidR="00D652A1">
            <w:rPr>
              <w:rFonts w:ascii="Arial" w:hAnsi="Arial" w:cs="Arial"/>
              <w:noProof/>
              <w:sz w:val="24"/>
              <w:szCs w:val="24"/>
            </w:rPr>
            <w:t>18</w:t>
          </w:r>
          <w:r w:rsidR="00D652A1" w:rsidRPr="00AC552B">
            <w:rPr>
              <w:rFonts w:ascii="Arial" w:hAnsi="Arial" w:cs="Arial"/>
              <w:noProof/>
              <w:sz w:val="24"/>
              <w:szCs w:val="24"/>
            </w:rPr>
            <w:fldChar w:fldCharType="end"/>
          </w:r>
        </w:p>
        <w:p w:rsidR="00D652A1" w:rsidRPr="00AC552B" w:rsidRDefault="00D652A1" w:rsidP="00D652A1">
          <w:pPr>
            <w:tabs>
              <w:tab w:val="right" w:pos="9025"/>
            </w:tabs>
            <w:spacing w:before="60" w:after="80" w:line="240" w:lineRule="auto"/>
            <w:ind w:left="360"/>
            <w:rPr>
              <w:rFonts w:ascii="Arial" w:hAnsi="Arial" w:cs="Arial"/>
              <w:b/>
              <w:color w:val="000000"/>
              <w:sz w:val="24"/>
              <w:szCs w:val="24"/>
            </w:rPr>
          </w:pPr>
          <w:r w:rsidRPr="00AC552B">
            <w:rPr>
              <w:rFonts w:ascii="Arial" w:hAnsi="Arial" w:cs="Arial"/>
              <w:sz w:val="24"/>
              <w:szCs w:val="24"/>
            </w:rPr>
            <w:fldChar w:fldCharType="end"/>
          </w:r>
        </w:p>
      </w:sdtContent>
    </w:sdt>
    <w:p w:rsidR="00D652A1" w:rsidRPr="00AC552B" w:rsidRDefault="00D652A1" w:rsidP="00D652A1">
      <w:pPr>
        <w:rPr>
          <w:rFonts w:ascii="Arial" w:eastAsia="Arial" w:hAnsi="Arial" w:cs="Arial"/>
          <w:sz w:val="24"/>
          <w:szCs w:val="24"/>
          <w:highlight w:val="yellow"/>
        </w:rPr>
      </w:pPr>
    </w:p>
    <w:p w:rsidR="00D652A1" w:rsidRPr="00AC552B" w:rsidRDefault="00D652A1" w:rsidP="00D652A1">
      <w:pPr>
        <w:pBdr>
          <w:top w:val="nil"/>
          <w:left w:val="nil"/>
          <w:bottom w:val="nil"/>
          <w:right w:val="nil"/>
          <w:between w:val="nil"/>
        </w:pBdr>
        <w:tabs>
          <w:tab w:val="left" w:pos="1134"/>
        </w:tabs>
        <w:spacing w:before="120" w:after="120" w:line="240" w:lineRule="auto"/>
        <w:rPr>
          <w:rFonts w:ascii="Arial" w:eastAsia="Arial" w:hAnsi="Arial" w:cs="Arial"/>
          <w:sz w:val="24"/>
          <w:szCs w:val="24"/>
          <w:highlight w:val="yellow"/>
        </w:rPr>
      </w:pPr>
      <w:r w:rsidRPr="00AC552B">
        <w:rPr>
          <w:rFonts w:ascii="Arial" w:hAnsi="Arial" w:cs="Arial"/>
          <w:sz w:val="24"/>
          <w:szCs w:val="24"/>
        </w:rPr>
        <w:br w:type="page"/>
      </w:r>
    </w:p>
    <w:p w:rsidR="00D652A1" w:rsidRPr="00AC552B" w:rsidRDefault="00D652A1" w:rsidP="00D652A1">
      <w:pPr>
        <w:pBdr>
          <w:top w:val="nil"/>
          <w:left w:val="nil"/>
          <w:bottom w:val="nil"/>
          <w:right w:val="nil"/>
          <w:between w:val="nil"/>
        </w:pBdr>
        <w:tabs>
          <w:tab w:val="left" w:pos="1134"/>
        </w:tabs>
        <w:spacing w:before="120" w:after="120" w:line="240" w:lineRule="auto"/>
        <w:ind w:left="720"/>
        <w:rPr>
          <w:rFonts w:ascii="Arial" w:eastAsia="Arial" w:hAnsi="Arial" w:cs="Arial"/>
          <w:strike/>
          <w:sz w:val="24"/>
          <w:szCs w:val="24"/>
        </w:rPr>
      </w:pPr>
    </w:p>
    <w:p w:rsidR="00D652A1" w:rsidRPr="00AC552B" w:rsidRDefault="00D652A1" w:rsidP="00D652A1">
      <w:pPr>
        <w:pStyle w:val="Heading1"/>
        <w:rPr>
          <w:rFonts w:ascii="Arial" w:hAnsi="Arial" w:cs="Arial"/>
          <w:sz w:val="24"/>
          <w:szCs w:val="24"/>
        </w:rPr>
      </w:pPr>
      <w:bookmarkStart w:id="2" w:name="_heading=h.affkk0gje8fd" w:colFirst="0" w:colLast="0"/>
      <w:bookmarkEnd w:id="2"/>
      <w:r w:rsidRPr="00AC552B">
        <w:rPr>
          <w:rFonts w:ascii="Arial" w:hAnsi="Arial" w:cs="Arial"/>
          <w:sz w:val="24"/>
          <w:szCs w:val="24"/>
        </w:rPr>
        <w:t>1. Summary</w:t>
      </w:r>
    </w:p>
    <w:p w:rsidR="00D652A1" w:rsidRPr="00AC552B" w:rsidRDefault="00D652A1" w:rsidP="00D652A1">
      <w:pPr>
        <w:spacing w:after="0" w:line="240" w:lineRule="auto"/>
        <w:rPr>
          <w:rFonts w:ascii="Arial" w:eastAsia="Arial" w:hAnsi="Arial" w:cs="Arial"/>
          <w:b/>
          <w:sz w:val="24"/>
          <w:szCs w:val="24"/>
        </w:rPr>
      </w:pPr>
    </w:p>
    <w:p w:rsidR="00D652A1" w:rsidRPr="00AC552B" w:rsidRDefault="00D652A1" w:rsidP="00D652A1">
      <w:pPr>
        <w:spacing w:after="0" w:line="240" w:lineRule="auto"/>
        <w:ind w:firstLine="850"/>
        <w:rPr>
          <w:rFonts w:ascii="Arial" w:eastAsia="Arial" w:hAnsi="Arial" w:cs="Arial"/>
          <w:b/>
          <w:sz w:val="24"/>
          <w:szCs w:val="24"/>
        </w:rPr>
      </w:pPr>
      <w:r w:rsidRPr="00AC552B">
        <w:rPr>
          <w:rFonts w:ascii="Arial" w:eastAsia="Arial" w:hAnsi="Arial" w:cs="Arial"/>
          <w:b/>
          <w:sz w:val="24"/>
          <w:szCs w:val="24"/>
        </w:rPr>
        <w:t xml:space="preserve">The scope of Deliverables covered by this framework: </w:t>
      </w:r>
    </w:p>
    <w:p w:rsidR="00D652A1" w:rsidRPr="00AC552B" w:rsidRDefault="00D652A1" w:rsidP="00D652A1">
      <w:pPr>
        <w:spacing w:after="0" w:line="240" w:lineRule="auto"/>
        <w:rPr>
          <w:rFonts w:ascii="Arial" w:eastAsia="Arial" w:hAnsi="Arial" w:cs="Arial"/>
          <w:b/>
          <w:sz w:val="24"/>
          <w:szCs w:val="24"/>
        </w:rPr>
      </w:pPr>
    </w:p>
    <w:tbl>
      <w:tblPr>
        <w:tblW w:w="8926" w:type="dxa"/>
        <w:tblInd w:w="2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4463"/>
        <w:gridCol w:w="4463"/>
      </w:tblGrid>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Strategy</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8"/>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Business Justification</w:t>
            </w:r>
          </w:p>
          <w:p w:rsidR="00D652A1" w:rsidRPr="00AC552B" w:rsidRDefault="00D652A1" w:rsidP="002F7E5A">
            <w:pPr>
              <w:numPr>
                <w:ilvl w:val="0"/>
                <w:numId w:val="28"/>
              </w:numPr>
              <w:spacing w:after="0" w:line="240" w:lineRule="auto"/>
              <w:ind w:left="720"/>
              <w:rPr>
                <w:rFonts w:ascii="Arial" w:eastAsia="Arial" w:hAnsi="Arial" w:cs="Arial"/>
                <w:sz w:val="24"/>
                <w:szCs w:val="24"/>
              </w:rPr>
            </w:pPr>
            <w:r w:rsidRPr="00AC552B">
              <w:rPr>
                <w:rFonts w:ascii="Arial" w:eastAsia="Arial" w:hAnsi="Arial" w:cs="Arial"/>
                <w:sz w:val="24"/>
                <w:szCs w:val="24"/>
              </w:rPr>
              <w:t>Readiness Assessment</w:t>
            </w:r>
          </w:p>
          <w:p w:rsidR="00D652A1" w:rsidRPr="00AC552B" w:rsidRDefault="00D652A1" w:rsidP="002F7E5A">
            <w:pPr>
              <w:numPr>
                <w:ilvl w:val="0"/>
                <w:numId w:val="28"/>
              </w:numPr>
              <w:spacing w:after="0" w:line="240" w:lineRule="auto"/>
              <w:ind w:left="720"/>
              <w:rPr>
                <w:rFonts w:ascii="Arial" w:eastAsia="Arial" w:hAnsi="Arial" w:cs="Arial"/>
                <w:sz w:val="24"/>
                <w:szCs w:val="24"/>
              </w:rPr>
            </w:pPr>
            <w:r w:rsidRPr="00AC552B">
              <w:rPr>
                <w:rFonts w:ascii="Arial" w:eastAsia="Arial" w:hAnsi="Arial" w:cs="Arial"/>
                <w:sz w:val="24"/>
                <w:szCs w:val="24"/>
              </w:rPr>
              <w:t>Review/Apply Lessons</w:t>
            </w:r>
          </w:p>
          <w:p w:rsidR="00D652A1" w:rsidRPr="00AC552B" w:rsidRDefault="00D652A1" w:rsidP="002F7E5A">
            <w:pPr>
              <w:numPr>
                <w:ilvl w:val="0"/>
                <w:numId w:val="28"/>
              </w:numPr>
              <w:spacing w:after="240" w:line="240" w:lineRule="auto"/>
              <w:ind w:left="720"/>
              <w:rPr>
                <w:rFonts w:ascii="Arial" w:eastAsia="Arial" w:hAnsi="Arial" w:cs="Arial"/>
                <w:sz w:val="24"/>
                <w:szCs w:val="24"/>
              </w:rPr>
            </w:pPr>
            <w:r w:rsidRPr="00AC552B">
              <w:rPr>
                <w:rFonts w:ascii="Arial" w:eastAsia="Arial" w:hAnsi="Arial" w:cs="Arial"/>
                <w:sz w:val="24"/>
                <w:szCs w:val="24"/>
              </w:rPr>
              <w:t>Statement of Concept</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Architecture</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4"/>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Enterprise Architecture</w:t>
            </w:r>
          </w:p>
          <w:p w:rsidR="00D652A1" w:rsidRPr="00AC552B" w:rsidRDefault="00D652A1" w:rsidP="002F7E5A">
            <w:pPr>
              <w:numPr>
                <w:ilvl w:val="0"/>
                <w:numId w:val="24"/>
              </w:numPr>
              <w:spacing w:after="0" w:line="240" w:lineRule="auto"/>
              <w:ind w:left="720"/>
              <w:rPr>
                <w:rFonts w:ascii="Arial" w:eastAsia="Arial" w:hAnsi="Arial" w:cs="Arial"/>
                <w:sz w:val="24"/>
                <w:szCs w:val="24"/>
              </w:rPr>
            </w:pPr>
            <w:r w:rsidRPr="00AC552B">
              <w:rPr>
                <w:rFonts w:ascii="Arial" w:eastAsia="Arial" w:hAnsi="Arial" w:cs="Arial"/>
                <w:sz w:val="24"/>
                <w:szCs w:val="24"/>
              </w:rPr>
              <w:t>Security Architecture</w:t>
            </w:r>
          </w:p>
          <w:p w:rsidR="00D652A1" w:rsidRPr="00AC552B" w:rsidRDefault="00D652A1" w:rsidP="002F7E5A">
            <w:pPr>
              <w:numPr>
                <w:ilvl w:val="0"/>
                <w:numId w:val="24"/>
              </w:numPr>
              <w:spacing w:after="240" w:line="240" w:lineRule="auto"/>
              <w:ind w:left="720"/>
              <w:rPr>
                <w:rFonts w:ascii="Arial" w:eastAsia="Arial" w:hAnsi="Arial" w:cs="Arial"/>
                <w:sz w:val="24"/>
                <w:szCs w:val="24"/>
              </w:rPr>
            </w:pPr>
            <w:r w:rsidRPr="00AC552B">
              <w:rPr>
                <w:rFonts w:ascii="Arial" w:eastAsia="Arial" w:hAnsi="Arial" w:cs="Arial"/>
                <w:sz w:val="24"/>
                <w:szCs w:val="24"/>
              </w:rPr>
              <w:t>Interoperability</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Design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Environment type (On premise, Public/Private Cloud)</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Operational Analysis</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Security</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Requirements</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Convergence</w:t>
            </w:r>
          </w:p>
          <w:p w:rsidR="00D652A1" w:rsidRPr="00AC552B" w:rsidRDefault="00D652A1" w:rsidP="002F7E5A">
            <w:pPr>
              <w:numPr>
                <w:ilvl w:val="0"/>
                <w:numId w:val="2"/>
              </w:numPr>
              <w:spacing w:after="0" w:line="240" w:lineRule="auto"/>
              <w:ind w:left="720"/>
              <w:rPr>
                <w:rFonts w:ascii="Arial" w:eastAsia="Arial" w:hAnsi="Arial" w:cs="Arial"/>
                <w:sz w:val="24"/>
                <w:szCs w:val="24"/>
              </w:rPr>
            </w:pPr>
            <w:r w:rsidRPr="00AC552B">
              <w:rPr>
                <w:rFonts w:ascii="Arial" w:eastAsia="Arial" w:hAnsi="Arial" w:cs="Arial"/>
                <w:sz w:val="24"/>
                <w:szCs w:val="24"/>
              </w:rPr>
              <w:t>Business Process Management</w:t>
            </w:r>
          </w:p>
          <w:p w:rsidR="00D652A1" w:rsidRPr="00AC552B" w:rsidRDefault="00D652A1" w:rsidP="002F7E5A">
            <w:pPr>
              <w:numPr>
                <w:ilvl w:val="0"/>
                <w:numId w:val="2"/>
              </w:numPr>
              <w:spacing w:after="240" w:line="240" w:lineRule="auto"/>
              <w:ind w:left="720"/>
              <w:rPr>
                <w:rFonts w:ascii="Arial" w:eastAsia="Arial" w:hAnsi="Arial" w:cs="Arial"/>
                <w:sz w:val="24"/>
                <w:szCs w:val="24"/>
              </w:rPr>
            </w:pPr>
            <w:r w:rsidRPr="00AC552B">
              <w:rPr>
                <w:rFonts w:ascii="Arial" w:eastAsia="Arial" w:hAnsi="Arial" w:cs="Arial"/>
                <w:sz w:val="24"/>
                <w:szCs w:val="24"/>
              </w:rPr>
              <w:t>Process Automation</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Software selection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7"/>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Proof of Concept</w:t>
            </w:r>
          </w:p>
          <w:p w:rsidR="00D652A1" w:rsidRPr="00AC552B" w:rsidRDefault="00D652A1" w:rsidP="002F7E5A">
            <w:pPr>
              <w:numPr>
                <w:ilvl w:val="0"/>
                <w:numId w:val="27"/>
              </w:numPr>
              <w:spacing w:after="0" w:line="240" w:lineRule="auto"/>
              <w:ind w:left="720"/>
              <w:rPr>
                <w:rFonts w:ascii="Arial" w:eastAsia="Arial" w:hAnsi="Arial" w:cs="Arial"/>
                <w:sz w:val="24"/>
                <w:szCs w:val="24"/>
              </w:rPr>
            </w:pPr>
            <w:r w:rsidRPr="00AC552B">
              <w:rPr>
                <w:rFonts w:ascii="Arial" w:eastAsia="Arial" w:hAnsi="Arial" w:cs="Arial"/>
                <w:sz w:val="24"/>
                <w:szCs w:val="24"/>
              </w:rPr>
              <w:t>RFP Pack</w:t>
            </w:r>
          </w:p>
          <w:p w:rsidR="00D652A1" w:rsidRPr="00AC552B" w:rsidRDefault="00D652A1" w:rsidP="002F7E5A">
            <w:pPr>
              <w:numPr>
                <w:ilvl w:val="0"/>
                <w:numId w:val="27"/>
              </w:numPr>
              <w:spacing w:after="240" w:line="240" w:lineRule="auto"/>
              <w:ind w:left="720"/>
              <w:rPr>
                <w:rFonts w:ascii="Arial" w:eastAsia="Arial" w:hAnsi="Arial" w:cs="Arial"/>
                <w:sz w:val="24"/>
                <w:szCs w:val="24"/>
              </w:rPr>
            </w:pPr>
            <w:r w:rsidRPr="00AC552B">
              <w:rPr>
                <w:rFonts w:ascii="Arial" w:eastAsia="Arial" w:hAnsi="Arial" w:cs="Arial"/>
                <w:sz w:val="24"/>
                <w:szCs w:val="24"/>
              </w:rPr>
              <w:t>Options Appraisal</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Impact assessment</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1"/>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Sandpit &amp; Product Exposure</w:t>
            </w:r>
          </w:p>
          <w:p w:rsidR="00D652A1" w:rsidRPr="00AC552B" w:rsidRDefault="00D652A1" w:rsidP="002F7E5A">
            <w:pPr>
              <w:numPr>
                <w:ilvl w:val="0"/>
                <w:numId w:val="21"/>
              </w:numPr>
              <w:spacing w:after="240" w:line="240" w:lineRule="auto"/>
              <w:ind w:left="720"/>
              <w:rPr>
                <w:rFonts w:ascii="Arial" w:eastAsia="Arial" w:hAnsi="Arial" w:cs="Arial"/>
                <w:sz w:val="24"/>
                <w:szCs w:val="24"/>
              </w:rPr>
            </w:pPr>
            <w:r w:rsidRPr="00AC552B">
              <w:rPr>
                <w:rFonts w:ascii="Arial" w:eastAsia="Arial" w:hAnsi="Arial" w:cs="Arial"/>
                <w:sz w:val="24"/>
                <w:szCs w:val="24"/>
              </w:rPr>
              <w:t>Data Preparation</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Integration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25"/>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Integration of service components from other vendors</w:t>
            </w:r>
          </w:p>
          <w:p w:rsidR="00D652A1" w:rsidRPr="00AC552B" w:rsidRDefault="00D652A1" w:rsidP="002F7E5A">
            <w:pPr>
              <w:numPr>
                <w:ilvl w:val="0"/>
                <w:numId w:val="25"/>
              </w:numPr>
              <w:spacing w:after="240" w:line="240" w:lineRule="auto"/>
              <w:ind w:left="720"/>
              <w:rPr>
                <w:rFonts w:ascii="Arial" w:eastAsia="Arial" w:hAnsi="Arial" w:cs="Arial"/>
                <w:sz w:val="24"/>
                <w:szCs w:val="24"/>
              </w:rPr>
            </w:pPr>
            <w:r w:rsidRPr="00AC552B">
              <w:rPr>
                <w:rFonts w:ascii="Arial" w:eastAsia="Arial" w:hAnsi="Arial" w:cs="Arial"/>
                <w:sz w:val="24"/>
                <w:szCs w:val="24"/>
              </w:rPr>
              <w:t>Integration of Buyers Apps</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Data migration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6"/>
              </w:numPr>
              <w:spacing w:before="240" w:after="0" w:line="240" w:lineRule="auto"/>
              <w:ind w:left="720"/>
              <w:rPr>
                <w:rFonts w:ascii="Arial" w:eastAsia="Arial" w:hAnsi="Arial" w:cs="Arial"/>
                <w:sz w:val="24"/>
                <w:szCs w:val="24"/>
              </w:rPr>
            </w:pPr>
            <w:r w:rsidRPr="00AC552B">
              <w:rPr>
                <w:rFonts w:ascii="Arial" w:eastAsia="Arial" w:hAnsi="Arial" w:cs="Arial"/>
                <w:sz w:val="24"/>
                <w:szCs w:val="24"/>
              </w:rPr>
              <w:t>Standards</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t>Preparation</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lastRenderedPageBreak/>
              <w:t>Access</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t>Hosting</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t>Security</w:t>
            </w:r>
          </w:p>
          <w:p w:rsidR="00D652A1" w:rsidRPr="00AC552B" w:rsidRDefault="00D652A1" w:rsidP="002F7E5A">
            <w:pPr>
              <w:numPr>
                <w:ilvl w:val="0"/>
                <w:numId w:val="6"/>
              </w:numPr>
              <w:spacing w:after="0" w:line="240" w:lineRule="auto"/>
              <w:ind w:left="720"/>
              <w:rPr>
                <w:rFonts w:ascii="Arial" w:eastAsia="Arial" w:hAnsi="Arial" w:cs="Arial"/>
                <w:sz w:val="24"/>
                <w:szCs w:val="24"/>
              </w:rPr>
            </w:pPr>
            <w:r w:rsidRPr="00AC552B">
              <w:rPr>
                <w:rFonts w:ascii="Arial" w:eastAsia="Arial" w:hAnsi="Arial" w:cs="Arial"/>
                <w:sz w:val="24"/>
                <w:szCs w:val="24"/>
              </w:rPr>
              <w:t>Location</w:t>
            </w:r>
          </w:p>
          <w:p w:rsidR="00D652A1" w:rsidRPr="00AC552B" w:rsidRDefault="00D652A1" w:rsidP="002F7E5A">
            <w:pPr>
              <w:numPr>
                <w:ilvl w:val="0"/>
                <w:numId w:val="6"/>
              </w:numPr>
              <w:spacing w:after="240" w:line="240" w:lineRule="auto"/>
              <w:ind w:left="720"/>
              <w:rPr>
                <w:rFonts w:ascii="Arial" w:eastAsia="Arial" w:hAnsi="Arial" w:cs="Arial"/>
                <w:sz w:val="24"/>
                <w:szCs w:val="24"/>
              </w:rPr>
            </w:pPr>
            <w:r w:rsidRPr="00AC552B">
              <w:rPr>
                <w:rFonts w:ascii="Arial" w:eastAsia="Arial" w:hAnsi="Arial" w:cs="Arial"/>
                <w:sz w:val="24"/>
                <w:szCs w:val="24"/>
              </w:rPr>
              <w:t>Masking</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lastRenderedPageBreak/>
              <w:t>Change management</w:t>
            </w:r>
          </w:p>
        </w:tc>
        <w:tc>
          <w:tcPr>
            <w:tcW w:w="4463" w:type="dxa"/>
            <w:shd w:val="clear" w:color="auto" w:fill="auto"/>
            <w:tcMar>
              <w:top w:w="100" w:type="dxa"/>
              <w:left w:w="100" w:type="dxa"/>
              <w:bottom w:w="100" w:type="dxa"/>
              <w:right w:w="100" w:type="dxa"/>
            </w:tcMar>
          </w:tcPr>
          <w:p w:rsidR="00D652A1" w:rsidRPr="00AC552B" w:rsidRDefault="00D652A1" w:rsidP="002F7E5A">
            <w:pPr>
              <w:widowControl w:val="0"/>
              <w:numPr>
                <w:ilvl w:val="0"/>
                <w:numId w:val="20"/>
              </w:numPr>
              <w:pBdr>
                <w:top w:val="nil"/>
                <w:left w:val="nil"/>
                <w:bottom w:val="nil"/>
                <w:right w:val="nil"/>
                <w:between w:val="nil"/>
              </w:pBdr>
              <w:spacing w:after="0" w:line="240" w:lineRule="auto"/>
              <w:rPr>
                <w:rFonts w:ascii="Arial" w:eastAsia="Arial" w:hAnsi="Arial" w:cs="Arial"/>
                <w:sz w:val="24"/>
                <w:szCs w:val="24"/>
              </w:rPr>
            </w:pPr>
            <w:r w:rsidRPr="00AC552B">
              <w:rPr>
                <w:rFonts w:ascii="Arial" w:eastAsia="Arial" w:hAnsi="Arial" w:cs="Arial"/>
                <w:sz w:val="24"/>
                <w:szCs w:val="24"/>
              </w:rPr>
              <w:t>Readiness Assessments</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Training</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7"/>
              </w:numPr>
              <w:spacing w:before="240" w:after="240" w:line="240" w:lineRule="auto"/>
              <w:rPr>
                <w:rFonts w:ascii="Arial" w:eastAsia="Arial" w:hAnsi="Arial" w:cs="Arial"/>
                <w:sz w:val="24"/>
                <w:szCs w:val="24"/>
              </w:rPr>
            </w:pPr>
            <w:r w:rsidRPr="00AC552B">
              <w:rPr>
                <w:rFonts w:ascii="Arial" w:eastAsia="Arial" w:hAnsi="Arial" w:cs="Arial"/>
                <w:sz w:val="24"/>
                <w:szCs w:val="24"/>
              </w:rPr>
              <w:t>Knowledge Transfer</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Transition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10"/>
              </w:numPr>
              <w:spacing w:before="240" w:after="0" w:line="240" w:lineRule="auto"/>
              <w:rPr>
                <w:rFonts w:ascii="Arial" w:eastAsia="Arial" w:hAnsi="Arial" w:cs="Arial"/>
                <w:sz w:val="24"/>
                <w:szCs w:val="24"/>
              </w:rPr>
            </w:pPr>
            <w:r w:rsidRPr="00AC552B">
              <w:rPr>
                <w:rFonts w:ascii="Arial" w:eastAsia="Arial" w:hAnsi="Arial" w:cs="Arial"/>
                <w:sz w:val="24"/>
                <w:szCs w:val="24"/>
              </w:rPr>
              <w:t>Onboarding</w:t>
            </w:r>
          </w:p>
          <w:p w:rsidR="00D652A1" w:rsidRPr="00AC552B" w:rsidRDefault="00D652A1" w:rsidP="002F7E5A">
            <w:pPr>
              <w:numPr>
                <w:ilvl w:val="0"/>
                <w:numId w:val="10"/>
              </w:numPr>
              <w:spacing w:after="0" w:line="240" w:lineRule="auto"/>
              <w:rPr>
                <w:rFonts w:ascii="Arial" w:eastAsia="Arial" w:hAnsi="Arial" w:cs="Arial"/>
                <w:sz w:val="24"/>
                <w:szCs w:val="24"/>
              </w:rPr>
            </w:pPr>
            <w:r w:rsidRPr="00AC552B">
              <w:rPr>
                <w:rFonts w:ascii="Arial" w:eastAsia="Arial" w:hAnsi="Arial" w:cs="Arial"/>
                <w:sz w:val="24"/>
                <w:szCs w:val="24"/>
              </w:rPr>
              <w:t>Stabilisation</w:t>
            </w:r>
          </w:p>
          <w:p w:rsidR="00D652A1" w:rsidRPr="00AC552B" w:rsidRDefault="00D652A1" w:rsidP="002F7E5A">
            <w:pPr>
              <w:numPr>
                <w:ilvl w:val="0"/>
                <w:numId w:val="10"/>
              </w:numPr>
              <w:spacing w:after="240" w:line="240" w:lineRule="auto"/>
              <w:rPr>
                <w:rFonts w:ascii="Arial" w:eastAsia="Arial" w:hAnsi="Arial" w:cs="Arial"/>
                <w:sz w:val="24"/>
                <w:szCs w:val="24"/>
              </w:rPr>
            </w:pPr>
            <w:r w:rsidRPr="00AC552B">
              <w:rPr>
                <w:rFonts w:ascii="Arial" w:eastAsia="Arial" w:hAnsi="Arial" w:cs="Arial"/>
                <w:sz w:val="24"/>
                <w:szCs w:val="24"/>
              </w:rPr>
              <w:t>Early Life Support</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Robotic Process Automation</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12"/>
              </w:numPr>
              <w:spacing w:before="240" w:after="240" w:line="240" w:lineRule="auto"/>
              <w:rPr>
                <w:rFonts w:ascii="Arial" w:eastAsia="Arial" w:hAnsi="Arial" w:cs="Arial"/>
                <w:sz w:val="24"/>
                <w:szCs w:val="24"/>
              </w:rPr>
            </w:pPr>
            <w:r w:rsidRPr="00AC552B">
              <w:rPr>
                <w:rFonts w:ascii="Arial" w:eastAsia="Arial" w:hAnsi="Arial" w:cs="Arial"/>
                <w:sz w:val="24"/>
                <w:szCs w:val="24"/>
              </w:rPr>
              <w:t>User Experience</w:t>
            </w:r>
          </w:p>
        </w:tc>
      </w:tr>
      <w:tr w:rsidR="00D652A1" w:rsidRPr="00AC552B" w:rsidTr="00B1650F">
        <w:tc>
          <w:tcPr>
            <w:tcW w:w="4463" w:type="dxa"/>
            <w:shd w:val="clear" w:color="auto" w:fill="auto"/>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t>BAU &amp; Continuous Improvement</w:t>
            </w:r>
          </w:p>
        </w:tc>
        <w:tc>
          <w:tcPr>
            <w:tcW w:w="4463" w:type="dxa"/>
            <w:shd w:val="clear" w:color="auto" w:fill="auto"/>
            <w:tcMar>
              <w:top w:w="100" w:type="dxa"/>
              <w:left w:w="100" w:type="dxa"/>
              <w:bottom w:w="100" w:type="dxa"/>
              <w:right w:w="100" w:type="dxa"/>
            </w:tcMar>
          </w:tcPr>
          <w:p w:rsidR="00D652A1" w:rsidRPr="00AC552B" w:rsidRDefault="00D652A1" w:rsidP="002F7E5A">
            <w:pPr>
              <w:numPr>
                <w:ilvl w:val="0"/>
                <w:numId w:val="8"/>
              </w:numPr>
              <w:spacing w:before="240" w:after="0" w:line="240" w:lineRule="auto"/>
              <w:rPr>
                <w:rFonts w:ascii="Arial" w:eastAsia="Arial" w:hAnsi="Arial" w:cs="Arial"/>
                <w:sz w:val="24"/>
                <w:szCs w:val="24"/>
              </w:rPr>
            </w:pPr>
            <w:r w:rsidRPr="00AC552B">
              <w:rPr>
                <w:rFonts w:ascii="Arial" w:eastAsia="Arial" w:hAnsi="Arial" w:cs="Arial"/>
                <w:sz w:val="24"/>
                <w:szCs w:val="24"/>
              </w:rPr>
              <w:t>Change management</w:t>
            </w:r>
          </w:p>
          <w:p w:rsidR="00D652A1" w:rsidRPr="00AC552B" w:rsidRDefault="00D652A1" w:rsidP="002F7E5A">
            <w:pPr>
              <w:numPr>
                <w:ilvl w:val="0"/>
                <w:numId w:val="8"/>
              </w:numPr>
              <w:spacing w:after="0" w:line="240" w:lineRule="auto"/>
              <w:rPr>
                <w:rFonts w:ascii="Arial" w:eastAsia="Arial" w:hAnsi="Arial" w:cs="Arial"/>
                <w:sz w:val="24"/>
                <w:szCs w:val="24"/>
              </w:rPr>
            </w:pPr>
            <w:r w:rsidRPr="00AC552B">
              <w:rPr>
                <w:rFonts w:ascii="Arial" w:eastAsia="Arial" w:hAnsi="Arial" w:cs="Arial"/>
                <w:sz w:val="24"/>
                <w:szCs w:val="24"/>
              </w:rPr>
              <w:t>Operational review</w:t>
            </w:r>
          </w:p>
          <w:p w:rsidR="00D652A1" w:rsidRPr="00AC552B" w:rsidRDefault="00D652A1" w:rsidP="002F7E5A">
            <w:pPr>
              <w:numPr>
                <w:ilvl w:val="0"/>
                <w:numId w:val="8"/>
              </w:numPr>
              <w:spacing w:after="0" w:line="240" w:lineRule="auto"/>
              <w:rPr>
                <w:rFonts w:ascii="Arial" w:eastAsia="Arial" w:hAnsi="Arial" w:cs="Arial"/>
                <w:sz w:val="24"/>
                <w:szCs w:val="24"/>
              </w:rPr>
            </w:pPr>
            <w:r w:rsidRPr="00AC552B">
              <w:rPr>
                <w:rFonts w:ascii="Arial" w:eastAsia="Arial" w:hAnsi="Arial" w:cs="Arial"/>
                <w:sz w:val="24"/>
                <w:szCs w:val="24"/>
              </w:rPr>
              <w:t>Decommissioning</w:t>
            </w:r>
          </w:p>
          <w:p w:rsidR="00D652A1" w:rsidRPr="00AC552B" w:rsidRDefault="00D652A1" w:rsidP="002F7E5A">
            <w:pPr>
              <w:numPr>
                <w:ilvl w:val="0"/>
                <w:numId w:val="8"/>
              </w:numPr>
              <w:spacing w:after="240" w:line="240" w:lineRule="auto"/>
              <w:rPr>
                <w:rFonts w:ascii="Arial" w:eastAsia="Arial" w:hAnsi="Arial" w:cs="Arial"/>
                <w:sz w:val="24"/>
                <w:szCs w:val="24"/>
              </w:rPr>
            </w:pPr>
            <w:r w:rsidRPr="00AC552B">
              <w:rPr>
                <w:rFonts w:ascii="Arial" w:eastAsia="Arial" w:hAnsi="Arial" w:cs="Arial"/>
                <w:sz w:val="24"/>
                <w:szCs w:val="24"/>
              </w:rPr>
              <w:t>Service management reviews</w:t>
            </w:r>
          </w:p>
        </w:tc>
      </w:tr>
    </w:tbl>
    <w:p w:rsidR="00D652A1" w:rsidRPr="00AC552B" w:rsidRDefault="00D652A1" w:rsidP="00D652A1">
      <w:pPr>
        <w:spacing w:after="0" w:line="240" w:lineRule="auto"/>
        <w:rPr>
          <w:rFonts w:ascii="Arial" w:eastAsia="Arial" w:hAnsi="Arial" w:cs="Arial"/>
          <w:sz w:val="24"/>
          <w:szCs w:val="24"/>
        </w:rPr>
      </w:pPr>
    </w:p>
    <w:p w:rsidR="00D652A1" w:rsidRPr="00AC552B" w:rsidRDefault="00D652A1" w:rsidP="00D652A1">
      <w:pPr>
        <w:pStyle w:val="Heading1"/>
        <w:spacing w:before="120" w:after="240"/>
        <w:ind w:left="425"/>
        <w:jc w:val="both"/>
        <w:rPr>
          <w:rFonts w:ascii="Arial" w:hAnsi="Arial" w:cs="Arial"/>
          <w:sz w:val="24"/>
          <w:szCs w:val="24"/>
        </w:rPr>
      </w:pPr>
      <w:bookmarkStart w:id="3" w:name="_heading=h.ptd278bpmg0o" w:colFirst="0" w:colLast="0"/>
      <w:bookmarkEnd w:id="3"/>
      <w:r w:rsidRPr="00AC552B">
        <w:rPr>
          <w:rFonts w:ascii="Arial" w:hAnsi="Arial" w:cs="Arial"/>
          <w:sz w:val="24"/>
          <w:szCs w:val="24"/>
        </w:rPr>
        <w:t xml:space="preserve">2. </w:t>
      </w:r>
      <w:r w:rsidRPr="00AC552B">
        <w:rPr>
          <w:rFonts w:ascii="Arial" w:hAnsi="Arial" w:cs="Arial"/>
          <w:sz w:val="24"/>
          <w:szCs w:val="24"/>
        </w:rPr>
        <w:tab/>
        <w:t>Deliverables</w:t>
      </w:r>
    </w:p>
    <w:p w:rsidR="00D652A1" w:rsidRPr="00AC552B" w:rsidRDefault="00D652A1" w:rsidP="00D652A1">
      <w:pPr>
        <w:spacing w:before="120" w:after="120"/>
        <w:ind w:left="850" w:hanging="566"/>
        <w:jc w:val="both"/>
        <w:rPr>
          <w:rFonts w:ascii="Arial" w:eastAsia="Arial" w:hAnsi="Arial" w:cs="Arial"/>
          <w:sz w:val="24"/>
          <w:szCs w:val="24"/>
        </w:rPr>
      </w:pPr>
      <w:r w:rsidRPr="00AC552B">
        <w:rPr>
          <w:rFonts w:ascii="Arial" w:eastAsia="Arial" w:hAnsi="Arial" w:cs="Arial"/>
          <w:sz w:val="24"/>
          <w:szCs w:val="24"/>
        </w:rPr>
        <w:t>2.1</w:t>
      </w:r>
      <w:r w:rsidRPr="00AC552B">
        <w:rPr>
          <w:rFonts w:ascii="Arial" w:eastAsia="Times New Roman" w:hAnsi="Arial" w:cs="Arial"/>
          <w:sz w:val="24"/>
          <w:szCs w:val="24"/>
        </w:rPr>
        <w:t xml:space="preserve">   </w:t>
      </w:r>
      <w:r w:rsidRPr="00AC552B">
        <w:rPr>
          <w:rFonts w:ascii="Arial" w:eastAsia="Arial" w:hAnsi="Arial" w:cs="Arial"/>
          <w:sz w:val="24"/>
          <w:szCs w:val="24"/>
        </w:rPr>
        <w:t>Suppliers awarded a place on this framework must comply with the following mandatory requirements and Deliverables: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2.1.1 </w:t>
      </w:r>
      <w:r w:rsidRPr="00AC552B">
        <w:rPr>
          <w:rFonts w:ascii="Arial" w:eastAsia="Arial" w:hAnsi="Arial" w:cs="Arial"/>
          <w:sz w:val="24"/>
          <w:szCs w:val="24"/>
        </w:rPr>
        <w:tab/>
        <w:t xml:space="preserve">The Supplier must assist in delivering the aims of further accelerating the development of open systems, data sharing and the interoperability of IT systems in government so that services can be delivered efficiently and respond more flexibly to the needs of citizens and businesses. Such flexibility may apply, for example allowing a different vendor to integrate with the Supplier’s system to provide the User Interface or workflow and / or may include functionality to enable other systems to connect to the Supplier’s system to enable data sharing or access to a service. </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2.1.2 </w:t>
      </w:r>
      <w:r w:rsidRPr="00AC552B">
        <w:rPr>
          <w:rFonts w:ascii="Arial" w:eastAsia="Arial" w:hAnsi="Arial" w:cs="Arial"/>
          <w:sz w:val="24"/>
          <w:szCs w:val="24"/>
        </w:rPr>
        <w:tab/>
        <w:t xml:space="preserve">The Supplier must set out clear plans for sharing developments, including new developments, between Buyers using their systems to </w:t>
      </w:r>
      <w:r w:rsidRPr="00AC552B">
        <w:rPr>
          <w:rFonts w:ascii="Arial" w:eastAsia="Arial" w:hAnsi="Arial" w:cs="Arial"/>
          <w:sz w:val="24"/>
          <w:szCs w:val="24"/>
        </w:rPr>
        <w:lastRenderedPageBreak/>
        <w:t>accelerate innovation and reduce development costs for their customers.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2.1.3 </w:t>
      </w:r>
      <w:r w:rsidRPr="00AC552B">
        <w:rPr>
          <w:rFonts w:ascii="Arial" w:eastAsia="Arial" w:hAnsi="Arial" w:cs="Arial"/>
          <w:sz w:val="24"/>
          <w:szCs w:val="24"/>
        </w:rPr>
        <w:tab/>
        <w:t>The Supplier must ensure that systems are either enabled for mobile use or can easily be integrated with mobile enabled interfaces.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2.1.4  </w:t>
      </w:r>
      <w:r w:rsidRPr="00AC552B">
        <w:rPr>
          <w:rFonts w:ascii="Arial" w:eastAsia="Arial" w:hAnsi="Arial" w:cs="Arial"/>
          <w:sz w:val="24"/>
          <w:szCs w:val="24"/>
        </w:rPr>
        <w:tab/>
        <w:t>The Supplier must ensure that support and maintenance services are available for any software licensed via Call-Off Contracts for a minimum of thirty six (36) months from the date of the original license purchase.</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2.1.5  </w:t>
      </w:r>
      <w:r w:rsidRPr="00AC552B">
        <w:rPr>
          <w:rFonts w:ascii="Arial" w:eastAsia="Arial" w:hAnsi="Arial" w:cs="Arial"/>
          <w:sz w:val="24"/>
          <w:szCs w:val="24"/>
        </w:rPr>
        <w:tab/>
        <w:t>The Supplier must ensure that support and maintenance Charges are to include all updates for changes to the taxation regime applied by HMRC, changes to law by legislators and changes in regulation by regulatory bodies. If a supplier believes that an extraordinary charge is required to cover the cost for any changes this may only be issued to Buyers with the Approval of CCS.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2.1.6 </w:t>
      </w:r>
      <w:r w:rsidRPr="00AC552B">
        <w:rPr>
          <w:rFonts w:ascii="Arial" w:eastAsia="Arial" w:hAnsi="Arial" w:cs="Arial"/>
          <w:sz w:val="24"/>
          <w:szCs w:val="24"/>
        </w:rPr>
        <w:tab/>
        <w:t>The Supplier must provide pre-sales support for specification clarification, where required by the Buyer.</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2.1.7  </w:t>
      </w:r>
      <w:r w:rsidRPr="00AC552B">
        <w:rPr>
          <w:rFonts w:ascii="Arial" w:eastAsia="Arial" w:hAnsi="Arial" w:cs="Arial"/>
          <w:sz w:val="24"/>
          <w:szCs w:val="24"/>
        </w:rPr>
        <w:tab/>
        <w:t>The Supplier must participate in Framework Contract management activities, for example, management meetings with CCS and/or its procurement partners in relation to this Framework Contract and their general public sector business. These would be at mutually agreed intervals.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2.1.8  The Supplier must provide all quotations in a manner that clearly demonstrates to the Buyers the different costs associated with their procurement, software, services, on-going support and maintenance and any other costs and any limitations or assumptions that have been made in arriving at the proposed pricing such as anticipated number of days.</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2.1.9 </w:t>
      </w:r>
      <w:r w:rsidRPr="00AC552B">
        <w:rPr>
          <w:rFonts w:ascii="Arial" w:eastAsia="Arial" w:hAnsi="Arial" w:cs="Arial"/>
          <w:sz w:val="24"/>
          <w:szCs w:val="24"/>
        </w:rPr>
        <w:tab/>
        <w:t>The Supplier must attend regular Buyer review meetings and performance reporting with the Buyer, to review the solution matters such as Service Levels, software upgrades, risks and issues, resource utilisation, implementation progress and to agree future requirements and developments, including innovation and continuous improvement plans. The Supplier must provide and maintain records and reports to show service levels achieved for the solution. (Frequency and content to be agreed with the Buyer.)</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2.1.10 </w:t>
      </w:r>
      <w:r w:rsidRPr="00AC552B">
        <w:rPr>
          <w:rFonts w:ascii="Arial" w:eastAsia="Arial" w:hAnsi="Arial" w:cs="Arial"/>
          <w:sz w:val="24"/>
          <w:szCs w:val="24"/>
        </w:rPr>
        <w:tab/>
        <w:t>The Supplier must provide advice and assistance to Buyers seeking to reduce their costs through shared services, aggregated procurements or asset management.</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2.1.11 </w:t>
      </w:r>
      <w:r w:rsidRPr="00AC552B">
        <w:rPr>
          <w:rFonts w:ascii="Arial" w:eastAsia="Arial" w:hAnsi="Arial" w:cs="Arial"/>
          <w:sz w:val="24"/>
          <w:szCs w:val="24"/>
        </w:rPr>
        <w:tab/>
        <w:t xml:space="preserve">The Supplier must work with CCS to market and promote the Framework Contract to CCS’s customers. This may include and not be limited to, Case Studies from contracts awarded via the Framework </w:t>
      </w:r>
      <w:r w:rsidRPr="00AC552B">
        <w:rPr>
          <w:rFonts w:ascii="Arial" w:eastAsia="Arial" w:hAnsi="Arial" w:cs="Arial"/>
          <w:sz w:val="24"/>
          <w:szCs w:val="24"/>
        </w:rPr>
        <w:lastRenderedPageBreak/>
        <w:t>Contract, marketing material, website pages and webinars.  At frequencies mutually agreed between CCS and the Supplier.</w:t>
      </w:r>
    </w:p>
    <w:p w:rsidR="00D652A1" w:rsidRPr="00AC552B" w:rsidRDefault="00D652A1" w:rsidP="00D652A1">
      <w:pPr>
        <w:spacing w:before="240" w:after="240" w:line="240" w:lineRule="auto"/>
        <w:ind w:left="1700" w:hanging="840"/>
        <w:jc w:val="both"/>
        <w:rPr>
          <w:rFonts w:ascii="Arial" w:eastAsia="Arial" w:hAnsi="Arial" w:cs="Arial"/>
          <w:sz w:val="24"/>
          <w:szCs w:val="24"/>
        </w:rPr>
      </w:pPr>
      <w:r w:rsidRPr="00AC552B">
        <w:rPr>
          <w:rFonts w:ascii="Arial" w:eastAsia="Arial" w:hAnsi="Arial" w:cs="Arial"/>
          <w:sz w:val="24"/>
          <w:szCs w:val="24"/>
        </w:rPr>
        <w:t xml:space="preserve">2.1.12 </w:t>
      </w:r>
      <w:r w:rsidRPr="00AC552B">
        <w:rPr>
          <w:rFonts w:ascii="Arial" w:eastAsia="Arial" w:hAnsi="Arial" w:cs="Arial"/>
          <w:sz w:val="24"/>
          <w:szCs w:val="24"/>
        </w:rPr>
        <w:tab/>
        <w:t>The Supplier must work with the Buyer in order to agree Operational Level Agreements (OLA) and maintain these as part of the contract management process.</w:t>
      </w:r>
    </w:p>
    <w:p w:rsidR="00D652A1" w:rsidRPr="00AC552B" w:rsidRDefault="00D652A1" w:rsidP="00D652A1">
      <w:pPr>
        <w:spacing w:before="240" w:after="240" w:line="240" w:lineRule="auto"/>
        <w:ind w:left="850" w:hanging="566"/>
        <w:jc w:val="both"/>
        <w:rPr>
          <w:rFonts w:ascii="Arial" w:eastAsia="Arial" w:hAnsi="Arial" w:cs="Arial"/>
          <w:sz w:val="24"/>
          <w:szCs w:val="24"/>
        </w:rPr>
      </w:pPr>
      <w:r w:rsidRPr="00AC552B">
        <w:rPr>
          <w:rFonts w:ascii="Arial" w:eastAsia="Arial" w:hAnsi="Arial" w:cs="Arial"/>
          <w:sz w:val="24"/>
          <w:szCs w:val="24"/>
        </w:rPr>
        <w:t xml:space="preserve">2.2  </w:t>
      </w:r>
      <w:r w:rsidRPr="00AC552B">
        <w:rPr>
          <w:rFonts w:ascii="Arial" w:eastAsia="Arial" w:hAnsi="Arial" w:cs="Arial"/>
          <w:sz w:val="24"/>
          <w:szCs w:val="24"/>
        </w:rPr>
        <w:tab/>
        <w:t>Application-related consultancy services</w:t>
      </w:r>
    </w:p>
    <w:p w:rsidR="00D652A1" w:rsidRPr="00AC552B" w:rsidRDefault="00D652A1" w:rsidP="00D652A1">
      <w:pPr>
        <w:spacing w:before="120" w:after="120"/>
        <w:ind w:left="850"/>
        <w:jc w:val="both"/>
        <w:rPr>
          <w:rFonts w:ascii="Arial" w:eastAsia="Arial" w:hAnsi="Arial" w:cs="Arial"/>
          <w:sz w:val="24"/>
          <w:szCs w:val="24"/>
        </w:rPr>
      </w:pPr>
      <w:r w:rsidRPr="00AC552B">
        <w:rPr>
          <w:rFonts w:ascii="Arial" w:eastAsia="Arial" w:hAnsi="Arial" w:cs="Arial"/>
          <w:sz w:val="24"/>
          <w:szCs w:val="24"/>
        </w:rPr>
        <w:t>Suppliers awarded a place on this framework will be required to provide the following:</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2.2.1  </w:t>
      </w:r>
      <w:r w:rsidRPr="00AC552B">
        <w:rPr>
          <w:rFonts w:ascii="Arial" w:eastAsia="Arial" w:hAnsi="Arial" w:cs="Arial"/>
          <w:sz w:val="24"/>
          <w:szCs w:val="24"/>
        </w:rPr>
        <w:tab/>
        <w:t>Provide services to design, install, integrate and commission any Back Office Software system.</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2.2.2 </w:t>
      </w:r>
      <w:r w:rsidRPr="00AC552B">
        <w:rPr>
          <w:rFonts w:ascii="Arial" w:eastAsia="Arial" w:hAnsi="Arial" w:cs="Arial"/>
          <w:sz w:val="24"/>
          <w:szCs w:val="24"/>
        </w:rPr>
        <w:tab/>
        <w:t>Provide prices for services offered in relation to which they are appointed to, these will be matched to SFIA (Skills Framework for the Information Age) categories and include;</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2.2.3  </w:t>
      </w:r>
      <w:r w:rsidRPr="00AC552B">
        <w:rPr>
          <w:rFonts w:ascii="Arial" w:eastAsia="Arial" w:hAnsi="Arial" w:cs="Arial"/>
          <w:sz w:val="24"/>
          <w:szCs w:val="24"/>
        </w:rPr>
        <w:tab/>
        <w:t>Day rates or packages for solution development and implementation</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2.2.4  </w:t>
      </w:r>
      <w:r w:rsidRPr="00AC552B">
        <w:rPr>
          <w:rFonts w:ascii="Arial" w:eastAsia="Arial" w:hAnsi="Arial" w:cs="Arial"/>
          <w:sz w:val="24"/>
          <w:szCs w:val="24"/>
        </w:rPr>
        <w:tab/>
        <w:t>Day rates or packages for service management</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2.2.5  </w:t>
      </w:r>
      <w:r w:rsidRPr="00AC552B">
        <w:rPr>
          <w:rFonts w:ascii="Arial" w:eastAsia="Arial" w:hAnsi="Arial" w:cs="Arial"/>
          <w:sz w:val="24"/>
          <w:szCs w:val="24"/>
        </w:rPr>
        <w:tab/>
        <w:t>Day rates or packages for business change (including training)</w:t>
      </w:r>
    </w:p>
    <w:p w:rsidR="00D652A1" w:rsidRPr="00AC552B" w:rsidRDefault="00D652A1" w:rsidP="00D652A1">
      <w:pPr>
        <w:spacing w:before="240" w:after="240" w:line="240" w:lineRule="auto"/>
        <w:ind w:left="1700" w:hanging="850"/>
        <w:jc w:val="both"/>
        <w:rPr>
          <w:rFonts w:ascii="Arial" w:eastAsia="Arial" w:hAnsi="Arial" w:cs="Arial"/>
          <w:sz w:val="24"/>
          <w:szCs w:val="24"/>
        </w:rPr>
      </w:pPr>
      <w:r w:rsidRPr="00AC552B">
        <w:rPr>
          <w:rFonts w:ascii="Arial" w:eastAsia="Arial" w:hAnsi="Arial" w:cs="Arial"/>
          <w:sz w:val="24"/>
          <w:szCs w:val="24"/>
        </w:rPr>
        <w:t xml:space="preserve">2.2.6  </w:t>
      </w:r>
      <w:r w:rsidRPr="00AC552B">
        <w:rPr>
          <w:rFonts w:ascii="Arial" w:eastAsia="Arial" w:hAnsi="Arial" w:cs="Arial"/>
          <w:sz w:val="24"/>
          <w:szCs w:val="24"/>
        </w:rPr>
        <w:tab/>
        <w:t>Day rates or packages for related strategy or architecture consultancy services.</w:t>
      </w:r>
    </w:p>
    <w:p w:rsidR="00D652A1" w:rsidRPr="00AC552B" w:rsidRDefault="00D652A1" w:rsidP="00D652A1">
      <w:pPr>
        <w:spacing w:before="240" w:after="240"/>
        <w:ind w:left="850" w:hanging="566"/>
        <w:rPr>
          <w:rFonts w:ascii="Arial" w:eastAsia="Arial" w:hAnsi="Arial" w:cs="Arial"/>
          <w:sz w:val="24"/>
          <w:szCs w:val="24"/>
        </w:rPr>
      </w:pPr>
      <w:r w:rsidRPr="00AC552B">
        <w:rPr>
          <w:rFonts w:ascii="Arial" w:eastAsia="Arial" w:hAnsi="Arial" w:cs="Arial"/>
          <w:sz w:val="24"/>
          <w:szCs w:val="24"/>
        </w:rPr>
        <w:t xml:space="preserve">2.3  </w:t>
      </w:r>
      <w:r w:rsidRPr="00AC552B">
        <w:rPr>
          <w:rFonts w:ascii="Arial" w:eastAsia="Arial" w:hAnsi="Arial" w:cs="Arial"/>
          <w:sz w:val="24"/>
          <w:szCs w:val="24"/>
        </w:rPr>
        <w:tab/>
        <w:t xml:space="preserve">Support and Maintenance Services    </w:t>
      </w:r>
      <w:r w:rsidRPr="00AC552B">
        <w:rPr>
          <w:rFonts w:ascii="Arial" w:eastAsia="Arial" w:hAnsi="Arial" w:cs="Arial"/>
          <w:sz w:val="24"/>
          <w:szCs w:val="24"/>
        </w:rPr>
        <w:tab/>
      </w:r>
    </w:p>
    <w:p w:rsidR="00D652A1" w:rsidRDefault="00D652A1" w:rsidP="00D652A1">
      <w:pPr>
        <w:spacing w:before="240" w:after="240"/>
        <w:ind w:left="283"/>
        <w:rPr>
          <w:rFonts w:ascii="Arial" w:eastAsia="Arial" w:hAnsi="Arial" w:cs="Arial"/>
          <w:sz w:val="24"/>
          <w:szCs w:val="24"/>
        </w:rPr>
      </w:pPr>
      <w:r w:rsidRPr="00AC552B">
        <w:rPr>
          <w:rFonts w:ascii="Arial" w:eastAsia="Arial" w:hAnsi="Arial" w:cs="Arial"/>
          <w:sz w:val="24"/>
          <w:szCs w:val="24"/>
        </w:rPr>
        <w:t>The Supplier may provide the following support and maintenance services (but are not limited to):</w:t>
      </w:r>
    </w:p>
    <w:p w:rsidR="00D652A1" w:rsidRDefault="00D652A1" w:rsidP="00D652A1">
      <w:pPr>
        <w:spacing w:before="240" w:after="240"/>
        <w:ind w:left="283"/>
        <w:rPr>
          <w:rFonts w:ascii="Arial" w:eastAsia="Arial" w:hAnsi="Arial" w:cs="Arial"/>
          <w:sz w:val="24"/>
          <w:szCs w:val="24"/>
        </w:rPr>
      </w:pPr>
    </w:p>
    <w:p w:rsidR="00D652A1" w:rsidRDefault="00D652A1" w:rsidP="00D652A1">
      <w:pPr>
        <w:spacing w:before="240" w:after="240"/>
        <w:ind w:left="283"/>
        <w:rPr>
          <w:rFonts w:ascii="Arial" w:eastAsia="Arial" w:hAnsi="Arial" w:cs="Arial"/>
          <w:sz w:val="24"/>
          <w:szCs w:val="24"/>
        </w:rPr>
      </w:pPr>
    </w:p>
    <w:p w:rsidR="00D652A1" w:rsidRPr="00AC552B" w:rsidRDefault="00D652A1" w:rsidP="00D652A1">
      <w:pPr>
        <w:spacing w:before="240" w:after="240"/>
        <w:ind w:left="283"/>
        <w:rPr>
          <w:rFonts w:ascii="Arial" w:eastAsia="Arial" w:hAnsi="Arial" w:cs="Arial"/>
          <w:sz w:val="24"/>
          <w:szCs w:val="24"/>
        </w:rPr>
      </w:pPr>
    </w:p>
    <w:tbl>
      <w:tblPr>
        <w:tblW w:w="89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00" w:firstRow="0" w:lastRow="0" w:firstColumn="0" w:lastColumn="0" w:noHBand="1" w:noVBand="1"/>
      </w:tblPr>
      <w:tblGrid>
        <w:gridCol w:w="8910"/>
      </w:tblGrid>
      <w:tr w:rsidR="00D652A1" w:rsidRPr="00AC552B" w:rsidTr="00B1650F">
        <w:trPr>
          <w:trHeight w:val="1025"/>
        </w:trPr>
        <w:tc>
          <w:tcPr>
            <w:tcW w:w="8910" w:type="dxa"/>
            <w:shd w:val="clear" w:color="auto" w:fill="BFBFBF"/>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a)</w:t>
            </w:r>
            <w:r w:rsidRPr="00AC552B">
              <w:rPr>
                <w:rFonts w:ascii="Arial" w:eastAsia="Arial" w:hAnsi="Arial" w:cs="Arial"/>
                <w:sz w:val="24"/>
                <w:szCs w:val="24"/>
              </w:rPr>
              <w:tab/>
            </w:r>
            <w:r w:rsidRPr="00AC552B">
              <w:rPr>
                <w:rFonts w:ascii="Arial" w:eastAsia="Arial" w:hAnsi="Arial" w:cs="Arial"/>
                <w:b/>
                <w:sz w:val="24"/>
                <w:szCs w:val="24"/>
              </w:rPr>
              <w:t>Service Desk</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9615"/>
        </w:trPr>
        <w:tc>
          <w:tcPr>
            <w:tcW w:w="8910" w:type="dxa"/>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sz w:val="24"/>
                <w:szCs w:val="24"/>
              </w:rPr>
              <w:lastRenderedPageBreak/>
              <w:t>The service desk acts as the primary user interface between the Buyer’s IT users and the information system support function. The role of the service desk is to take ownership of all calls made to it, and to ensure that the Buyers are provided with incident resolutions.</w:t>
            </w:r>
          </w:p>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The service desk must be ITIL compliant and may include, but will not be limited to, the provision of the following services:</w:t>
            </w:r>
          </w:p>
          <w:p w:rsidR="00D652A1" w:rsidRPr="00AC552B" w:rsidRDefault="00D652A1" w:rsidP="002F7E5A">
            <w:pPr>
              <w:numPr>
                <w:ilvl w:val="0"/>
                <w:numId w:val="4"/>
              </w:numPr>
              <w:pBdr>
                <w:top w:val="nil"/>
                <w:left w:val="nil"/>
                <w:bottom w:val="nil"/>
                <w:right w:val="nil"/>
                <w:between w:val="nil"/>
              </w:pBdr>
              <w:spacing w:before="200" w:after="0" w:line="240" w:lineRule="auto"/>
              <w:rPr>
                <w:rFonts w:ascii="Arial" w:eastAsia="Arial" w:hAnsi="Arial" w:cs="Arial"/>
                <w:color w:val="000000"/>
                <w:sz w:val="24"/>
                <w:szCs w:val="24"/>
              </w:rPr>
            </w:pPr>
            <w:r w:rsidRPr="00AC552B">
              <w:rPr>
                <w:rFonts w:ascii="Arial" w:eastAsia="Arial" w:hAnsi="Arial" w:cs="Arial"/>
                <w:color w:val="000000"/>
                <w:sz w:val="24"/>
                <w:szCs w:val="24"/>
              </w:rPr>
              <w:t>A logical ‘Single Point of Contact’ for all user contacts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Contacts can be by telephone and email.</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Contact answering</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Accurate recording of all contacts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Timely updating of contact data</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Contact categorisation including contact type and severity levels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Contact prioritisation</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Instigation of escalation procedures as appropriate</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Direct and prompt resolution of contacts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Providing timely and accurate information to users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Obtaining Buyer’s agreement or signoff prior to the closure of any contact</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Active ownership, tracking and management of all contacts within scope – to ensure contacts are resolved</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To keep the caller updated of the status of any contact where they are unlikely to be resolved or completed within the agreed time</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To update appropriate IT and user management of the status of all high priority and service affecting contacts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Where necessary provide on-site support to the repair process</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Provide visibility via a web browser of the appropriate section of the incident management system</w:t>
            </w:r>
          </w:p>
          <w:p w:rsidR="00D652A1" w:rsidRPr="00AC552B" w:rsidRDefault="00D652A1" w:rsidP="002F7E5A">
            <w:pPr>
              <w:numPr>
                <w:ilvl w:val="0"/>
                <w:numId w:val="4"/>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Incident management and reporting</w:t>
            </w:r>
          </w:p>
        </w:tc>
      </w:tr>
      <w:tr w:rsidR="00D652A1" w:rsidRPr="00AC552B" w:rsidTr="00B1650F">
        <w:trPr>
          <w:trHeight w:val="1025"/>
        </w:trPr>
        <w:tc>
          <w:tcPr>
            <w:tcW w:w="8910" w:type="dxa"/>
            <w:shd w:val="clear" w:color="auto" w:fill="CCCCCC"/>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b)</w:t>
            </w:r>
            <w:r w:rsidRPr="00AC552B">
              <w:rPr>
                <w:rFonts w:ascii="Arial" w:eastAsia="Arial" w:hAnsi="Arial" w:cs="Arial"/>
                <w:sz w:val="24"/>
                <w:szCs w:val="24"/>
              </w:rPr>
              <w:tab/>
            </w:r>
            <w:r w:rsidRPr="00AC552B">
              <w:rPr>
                <w:rFonts w:ascii="Arial" w:eastAsia="Arial" w:hAnsi="Arial" w:cs="Arial"/>
                <w:b/>
                <w:sz w:val="24"/>
                <w:szCs w:val="24"/>
              </w:rPr>
              <w:t>Maintenance Services</w:t>
            </w:r>
          </w:p>
          <w:p w:rsidR="00D652A1" w:rsidRPr="00AC552B" w:rsidRDefault="00D652A1" w:rsidP="00B1650F">
            <w:pPr>
              <w:tabs>
                <w:tab w:val="left" w:pos="709"/>
                <w:tab w:val="left" w:pos="284"/>
              </w:tabs>
              <w:spacing w:before="240" w:after="240" w:line="240" w:lineRule="auto"/>
              <w:rPr>
                <w:rFonts w:ascii="Arial" w:eastAsia="Arial" w:hAnsi="Arial" w:cs="Arial"/>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1025"/>
        </w:trPr>
        <w:tc>
          <w:tcPr>
            <w:tcW w:w="8910" w:type="dxa"/>
            <w:shd w:val="clear" w:color="auto" w:fill="FFFFFF" w:themeFill="background1"/>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The provision of maintenance services for software applications within the scope of the Lot (inclusive of any customisation) including but not limited to:</w:t>
            </w:r>
          </w:p>
          <w:p w:rsidR="00D652A1" w:rsidRPr="00AC552B" w:rsidRDefault="00D652A1" w:rsidP="002F7E5A">
            <w:pPr>
              <w:numPr>
                <w:ilvl w:val="0"/>
                <w:numId w:val="3"/>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Break-fix support</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lastRenderedPageBreak/>
              <w:t>Advisory services on the implementation of pre-built patches that the customer has rights to deploy/is licensed to use by the relevant software owner</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testing and implementation of bug fixes (or such bug fixes where available from the relevant software owner, advisory services in the implementation thereof)</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testing and implementation of workarounds where bug fix is not possible (or such bug fixes where available from the relevant software owner advisory services in the implementation thereof)</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testing and implementation of all necessary updates to ensure that the software undertakes all processing to include changes to the taxation regime applied by HMRC, changes to law by legislators and changes in regulation by regulatory bodies (or such bug fixes where available from the relevant software owner advisory services in the implementation thereof)</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Monitoring of the operation of the software in order to assure application and information availability and integrity</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a knowledge-base of known issues and solutions in respect of the software</w:t>
            </w:r>
          </w:p>
          <w:p w:rsidR="00D652A1" w:rsidRPr="00AC552B" w:rsidRDefault="00D652A1" w:rsidP="002F7E5A">
            <w:pPr>
              <w:numPr>
                <w:ilvl w:val="0"/>
                <w:numId w:val="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release notes to customers</w:t>
            </w:r>
          </w:p>
          <w:p w:rsidR="00D652A1" w:rsidRDefault="00D652A1" w:rsidP="002F7E5A">
            <w:pPr>
              <w:numPr>
                <w:ilvl w:val="0"/>
                <w:numId w:val="3"/>
              </w:numPr>
              <w:pBdr>
                <w:top w:val="nil"/>
                <w:left w:val="nil"/>
                <w:bottom w:val="nil"/>
                <w:right w:val="nil"/>
                <w:between w:val="nil"/>
              </w:pBdr>
              <w:spacing w:after="240" w:line="240" w:lineRule="auto"/>
              <w:rPr>
                <w:rFonts w:ascii="Arial" w:eastAsia="Arial" w:hAnsi="Arial" w:cs="Arial"/>
                <w:color w:val="000000"/>
                <w:sz w:val="24"/>
                <w:szCs w:val="24"/>
              </w:rPr>
            </w:pPr>
            <w:r w:rsidRPr="00AC552B">
              <w:rPr>
                <w:rFonts w:ascii="Arial" w:eastAsia="Arial" w:hAnsi="Arial" w:cs="Arial"/>
                <w:color w:val="000000"/>
                <w:sz w:val="24"/>
                <w:szCs w:val="24"/>
              </w:rPr>
              <w:t>Assistance with upgrading, replacing, or otherwise changing the software</w:t>
            </w:r>
          </w:p>
          <w:p w:rsidR="00D652A1" w:rsidRPr="00AC552B" w:rsidRDefault="00D652A1" w:rsidP="00B1650F">
            <w:pPr>
              <w:spacing w:before="240" w:after="240" w:line="240" w:lineRule="auto"/>
              <w:rPr>
                <w:rFonts w:ascii="Arial" w:eastAsia="Arial" w:hAnsi="Arial" w:cs="Arial"/>
                <w:b/>
                <w:sz w:val="24"/>
                <w:szCs w:val="24"/>
              </w:rPr>
            </w:pPr>
          </w:p>
        </w:tc>
      </w:tr>
      <w:tr w:rsidR="00D652A1" w:rsidRPr="00AC552B" w:rsidTr="00B1650F">
        <w:trPr>
          <w:trHeight w:val="1025"/>
        </w:trPr>
        <w:tc>
          <w:tcPr>
            <w:tcW w:w="8910" w:type="dxa"/>
            <w:shd w:val="clear" w:color="auto" w:fill="CCCCCC"/>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lastRenderedPageBreak/>
              <w:t>c)</w:t>
            </w:r>
            <w:r w:rsidRPr="00AC552B">
              <w:rPr>
                <w:rFonts w:ascii="Arial" w:eastAsia="Arial" w:hAnsi="Arial" w:cs="Arial"/>
                <w:sz w:val="24"/>
                <w:szCs w:val="24"/>
              </w:rPr>
              <w:tab/>
            </w:r>
            <w:r w:rsidRPr="00AC552B">
              <w:rPr>
                <w:rFonts w:ascii="Arial" w:eastAsia="Arial" w:hAnsi="Arial" w:cs="Arial"/>
                <w:b/>
                <w:sz w:val="24"/>
                <w:szCs w:val="24"/>
              </w:rPr>
              <w:t>User Support</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1025"/>
        </w:trPr>
        <w:tc>
          <w:tcPr>
            <w:tcW w:w="8910" w:type="dxa"/>
            <w:shd w:val="clear" w:color="auto" w:fill="FFFFFF" w:themeFill="background1"/>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User support may include but will not be limited to the provision of the following services;</w:t>
            </w:r>
          </w:p>
          <w:p w:rsidR="00D652A1" w:rsidRPr="00AC552B" w:rsidRDefault="00D652A1" w:rsidP="002F7E5A">
            <w:pPr>
              <w:numPr>
                <w:ilvl w:val="0"/>
                <w:numId w:val="19"/>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Access to user documentation pertaining to the solution, including system manuals, user guides, on-line help, FAQs;</w:t>
            </w:r>
          </w:p>
          <w:p w:rsidR="00D652A1" w:rsidRPr="00AC552B" w:rsidRDefault="00D652A1" w:rsidP="002F7E5A">
            <w:pPr>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Updating of documentation to reflect new versions of the Supplier solution;</w:t>
            </w:r>
          </w:p>
          <w:p w:rsidR="00D652A1" w:rsidRPr="00AC552B" w:rsidRDefault="00D652A1" w:rsidP="002F7E5A">
            <w:pPr>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operational support as part of their application management service;</w:t>
            </w:r>
          </w:p>
          <w:p w:rsidR="00D652A1" w:rsidRPr="00AC552B" w:rsidRDefault="00D652A1" w:rsidP="002F7E5A">
            <w:pPr>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second line operational support and help desk services to the Buyers’ users in respect of the solution and its associated activities Investigation and resolution of all technical issues arising from reported problems;</w:t>
            </w:r>
          </w:p>
          <w:p w:rsidR="00D652A1" w:rsidRPr="00AC552B" w:rsidRDefault="00D652A1" w:rsidP="002F7E5A">
            <w:pPr>
              <w:numPr>
                <w:ilvl w:val="0"/>
                <w:numId w:val="19"/>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Resolution in line with the resolution service levels, as defined in the Call Off Contract;</w:t>
            </w:r>
          </w:p>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color w:val="000000"/>
                <w:sz w:val="24"/>
                <w:szCs w:val="24"/>
              </w:rPr>
              <w:lastRenderedPageBreak/>
              <w:t>Provision of a single service management system for incident management, problem resolution and change management, with a designated account manager as a single point of contact for user support.</w:t>
            </w:r>
          </w:p>
        </w:tc>
      </w:tr>
    </w:tbl>
    <w:p w:rsidR="00D652A1" w:rsidRPr="00AC552B" w:rsidRDefault="00D652A1" w:rsidP="00D652A1">
      <w:pPr>
        <w:spacing w:before="240" w:after="240" w:line="240" w:lineRule="auto"/>
        <w:ind w:left="720"/>
        <w:rPr>
          <w:rFonts w:ascii="Arial" w:eastAsia="Arial" w:hAnsi="Arial" w:cs="Arial"/>
          <w:sz w:val="24"/>
          <w:szCs w:val="24"/>
        </w:rPr>
      </w:pPr>
      <w:r w:rsidRPr="00AC552B">
        <w:rPr>
          <w:rFonts w:ascii="Arial" w:eastAsia="Arial" w:hAnsi="Arial" w:cs="Arial"/>
          <w:sz w:val="24"/>
          <w:szCs w:val="24"/>
        </w:rPr>
        <w:lastRenderedPageBreak/>
        <w:t xml:space="preserve"> </w:t>
      </w:r>
    </w:p>
    <w:p w:rsidR="00D652A1" w:rsidRPr="00AC552B" w:rsidRDefault="00D652A1" w:rsidP="00D652A1">
      <w:pPr>
        <w:spacing w:before="240" w:after="240" w:line="240" w:lineRule="auto"/>
        <w:ind w:left="850" w:hanging="435"/>
        <w:rPr>
          <w:rFonts w:ascii="Arial" w:eastAsia="Arial" w:hAnsi="Arial" w:cs="Arial"/>
          <w:sz w:val="24"/>
          <w:szCs w:val="24"/>
        </w:rPr>
      </w:pPr>
      <w:r w:rsidRPr="00AC552B">
        <w:rPr>
          <w:rFonts w:ascii="Arial" w:eastAsia="Arial" w:hAnsi="Arial" w:cs="Arial"/>
          <w:sz w:val="24"/>
          <w:szCs w:val="24"/>
        </w:rPr>
        <w:t>2.4   Hardware, software and peripherals</w:t>
      </w:r>
    </w:p>
    <w:p w:rsidR="00D652A1" w:rsidRPr="00AC552B" w:rsidRDefault="00D652A1" w:rsidP="00D652A1">
      <w:pPr>
        <w:spacing w:before="240" w:after="240" w:line="240" w:lineRule="auto"/>
        <w:ind w:left="1700" w:hanging="850"/>
        <w:rPr>
          <w:rFonts w:ascii="Arial" w:eastAsia="Arial" w:hAnsi="Arial" w:cs="Arial"/>
          <w:sz w:val="24"/>
          <w:szCs w:val="24"/>
        </w:rPr>
      </w:pPr>
      <w:r w:rsidRPr="00AC552B">
        <w:rPr>
          <w:rFonts w:ascii="Arial" w:eastAsia="Arial" w:hAnsi="Arial" w:cs="Arial"/>
          <w:sz w:val="24"/>
          <w:szCs w:val="24"/>
        </w:rPr>
        <w:t xml:space="preserve">2.4.1 </w:t>
      </w:r>
      <w:r w:rsidRPr="00AC552B">
        <w:rPr>
          <w:rFonts w:ascii="Arial" w:eastAsia="Arial" w:hAnsi="Arial" w:cs="Arial"/>
          <w:sz w:val="24"/>
          <w:szCs w:val="24"/>
        </w:rPr>
        <w:tab/>
        <w:t>Provision of hardware, software and peripherals to enable the use of the solution supplied on the condition that the costs (of the hardware and peripherals) fall below 50% of total contract value and Buyers are provided with the opportunity to substitute the proposed hardware or peripherals with those supplied by other sources if the alternative source will provide the Buyer with better value for money.</w:t>
      </w:r>
    </w:p>
    <w:p w:rsidR="00D652A1" w:rsidRPr="00AC552B" w:rsidRDefault="00D652A1" w:rsidP="00D652A1">
      <w:pPr>
        <w:spacing w:before="240" w:after="240" w:line="240" w:lineRule="auto"/>
        <w:ind w:left="850" w:hanging="566"/>
        <w:rPr>
          <w:rFonts w:ascii="Arial" w:eastAsia="Arial" w:hAnsi="Arial" w:cs="Arial"/>
          <w:sz w:val="24"/>
          <w:szCs w:val="24"/>
        </w:rPr>
      </w:pPr>
      <w:r w:rsidRPr="00AC552B">
        <w:rPr>
          <w:rFonts w:ascii="Arial" w:eastAsia="Arial" w:hAnsi="Arial" w:cs="Arial"/>
          <w:sz w:val="24"/>
          <w:szCs w:val="24"/>
        </w:rPr>
        <w:t>2.5     Additional Services</w:t>
      </w:r>
      <w:r w:rsidRPr="00AC552B">
        <w:rPr>
          <w:rFonts w:ascii="Arial" w:eastAsia="Arial" w:hAnsi="Arial" w:cs="Arial"/>
          <w:sz w:val="24"/>
          <w:szCs w:val="24"/>
        </w:rPr>
        <w:tab/>
      </w:r>
    </w:p>
    <w:p w:rsidR="00D652A1" w:rsidRPr="00AC552B" w:rsidRDefault="00D652A1" w:rsidP="00D652A1">
      <w:pPr>
        <w:spacing w:before="240" w:after="240" w:line="240" w:lineRule="auto"/>
        <w:ind w:left="1700" w:hanging="850"/>
        <w:rPr>
          <w:rFonts w:ascii="Arial" w:eastAsia="Arial" w:hAnsi="Arial" w:cs="Arial"/>
          <w:b/>
          <w:sz w:val="24"/>
          <w:szCs w:val="24"/>
        </w:rPr>
      </w:pPr>
      <w:r w:rsidRPr="00AC552B">
        <w:rPr>
          <w:rFonts w:ascii="Arial" w:eastAsia="Arial" w:hAnsi="Arial" w:cs="Arial"/>
          <w:sz w:val="24"/>
          <w:szCs w:val="24"/>
        </w:rPr>
        <w:t xml:space="preserve">2.5.1 </w:t>
      </w:r>
      <w:r w:rsidRPr="00AC552B">
        <w:rPr>
          <w:rFonts w:ascii="Arial" w:eastAsia="Arial" w:hAnsi="Arial" w:cs="Arial"/>
          <w:sz w:val="24"/>
          <w:szCs w:val="24"/>
        </w:rPr>
        <w:tab/>
        <w:t>The Supplier may offer the following additional services when linked to the service Deliverables;</w:t>
      </w:r>
    </w:p>
    <w:p w:rsidR="00D652A1" w:rsidRPr="00AC552B" w:rsidRDefault="00D652A1" w:rsidP="00D652A1">
      <w:pPr>
        <w:spacing w:before="240" w:after="240" w:line="240" w:lineRule="auto"/>
        <w:ind w:left="1700" w:hanging="850"/>
        <w:rPr>
          <w:rFonts w:ascii="Arial" w:eastAsia="Arial" w:hAnsi="Arial" w:cs="Arial"/>
          <w:sz w:val="24"/>
          <w:szCs w:val="24"/>
        </w:rPr>
      </w:pPr>
      <w:r w:rsidRPr="00AC552B">
        <w:rPr>
          <w:rFonts w:ascii="Arial" w:eastAsia="Arial" w:hAnsi="Arial" w:cs="Arial"/>
          <w:sz w:val="24"/>
          <w:szCs w:val="24"/>
        </w:rPr>
        <w:t>2.5.2</w:t>
      </w:r>
      <w:r w:rsidRPr="00AC552B">
        <w:rPr>
          <w:rFonts w:ascii="Arial" w:eastAsia="Arial" w:hAnsi="Arial" w:cs="Arial"/>
          <w:sz w:val="24"/>
          <w:szCs w:val="24"/>
        </w:rPr>
        <w:tab/>
        <w:t>In addition to the above, the Supplier may offer the following, as long as they can provide all of the above core requirements;</w:t>
      </w:r>
    </w:p>
    <w:p w:rsidR="00D652A1" w:rsidRPr="00AC552B" w:rsidRDefault="00D652A1" w:rsidP="002F7E5A">
      <w:pPr>
        <w:numPr>
          <w:ilvl w:val="0"/>
          <w:numId w:val="18"/>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 xml:space="preserve">Provide business process services </w:t>
      </w:r>
    </w:p>
    <w:p w:rsidR="00D652A1" w:rsidRPr="00AC552B" w:rsidRDefault="00D652A1" w:rsidP="002F7E5A">
      <w:pPr>
        <w:numPr>
          <w:ilvl w:val="0"/>
          <w:numId w:val="18"/>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 xml:space="preserve">Application hosting </w:t>
      </w:r>
    </w:p>
    <w:p w:rsidR="00D652A1" w:rsidRPr="00AC552B" w:rsidRDefault="00D652A1" w:rsidP="002F7E5A">
      <w:pPr>
        <w:numPr>
          <w:ilvl w:val="0"/>
          <w:numId w:val="18"/>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 xml:space="preserve">Application Management Services </w:t>
      </w:r>
    </w:p>
    <w:p w:rsidR="00D652A1" w:rsidRPr="00AC552B" w:rsidRDefault="00D652A1" w:rsidP="002F7E5A">
      <w:pPr>
        <w:numPr>
          <w:ilvl w:val="0"/>
          <w:numId w:val="18"/>
        </w:numPr>
        <w:pBdr>
          <w:top w:val="nil"/>
          <w:left w:val="nil"/>
          <w:bottom w:val="nil"/>
          <w:right w:val="nil"/>
          <w:between w:val="nil"/>
        </w:pBdr>
        <w:spacing w:after="240" w:line="240" w:lineRule="auto"/>
        <w:rPr>
          <w:rFonts w:ascii="Arial" w:eastAsia="Arial" w:hAnsi="Arial" w:cs="Arial"/>
          <w:color w:val="000000"/>
          <w:sz w:val="24"/>
          <w:szCs w:val="24"/>
        </w:rPr>
      </w:pPr>
      <w:r w:rsidRPr="00AC552B">
        <w:rPr>
          <w:rFonts w:ascii="Arial" w:eastAsia="Arial" w:hAnsi="Arial" w:cs="Arial"/>
          <w:color w:val="000000"/>
          <w:sz w:val="24"/>
          <w:szCs w:val="24"/>
        </w:rPr>
        <w:t>Disaster recovery and backup services</w:t>
      </w:r>
    </w:p>
    <w:p w:rsidR="00D652A1" w:rsidRPr="00AC552B" w:rsidRDefault="00D652A1" w:rsidP="00D652A1">
      <w:pPr>
        <w:spacing w:before="240" w:after="240" w:line="240" w:lineRule="auto"/>
        <w:ind w:left="1080"/>
        <w:rPr>
          <w:rFonts w:ascii="Arial" w:eastAsia="Arial" w:hAnsi="Arial" w:cs="Arial"/>
          <w:sz w:val="24"/>
          <w:szCs w:val="24"/>
        </w:rPr>
      </w:pPr>
      <w:r w:rsidRPr="00AC552B">
        <w:rPr>
          <w:rFonts w:ascii="Arial" w:eastAsia="Arial" w:hAnsi="Arial" w:cs="Arial"/>
          <w:sz w:val="24"/>
          <w:szCs w:val="24"/>
        </w:rPr>
        <w:t xml:space="preserve"> </w:t>
      </w:r>
    </w:p>
    <w:tbl>
      <w:tblPr>
        <w:tblW w:w="9025" w:type="dxa"/>
        <w:tblBorders>
          <w:top w:val="nil"/>
          <w:left w:val="nil"/>
          <w:bottom w:val="nil"/>
          <w:right w:val="nil"/>
          <w:insideH w:val="nil"/>
          <w:insideV w:val="nil"/>
        </w:tblBorders>
        <w:tblLayout w:type="fixed"/>
        <w:tblLook w:val="0600" w:firstRow="0" w:lastRow="0" w:firstColumn="0" w:lastColumn="0" w:noHBand="1" w:noVBand="1"/>
      </w:tblPr>
      <w:tblGrid>
        <w:gridCol w:w="9025"/>
      </w:tblGrid>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BFBFBF"/>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d)</w:t>
            </w:r>
            <w:r w:rsidRPr="00AC552B">
              <w:rPr>
                <w:rFonts w:ascii="Arial" w:eastAsia="Arial" w:hAnsi="Arial" w:cs="Arial"/>
                <w:sz w:val="24"/>
                <w:szCs w:val="24"/>
              </w:rPr>
              <w:tab/>
            </w:r>
            <w:r w:rsidRPr="00AC552B">
              <w:rPr>
                <w:rFonts w:ascii="Arial" w:eastAsia="Arial" w:hAnsi="Arial" w:cs="Arial"/>
                <w:b/>
                <w:sz w:val="24"/>
                <w:szCs w:val="24"/>
              </w:rPr>
              <w:t>Hosting Services</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Hosting services may include but will not be limited to the provision of the following services:</w:t>
            </w:r>
          </w:p>
          <w:p w:rsidR="00D652A1" w:rsidRPr="00AC552B" w:rsidRDefault="00D652A1" w:rsidP="002F7E5A">
            <w:pPr>
              <w:numPr>
                <w:ilvl w:val="0"/>
                <w:numId w:val="22"/>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Management of the hosting of the solution and making it available to users, via a secure website having a unique web address;</w:t>
            </w:r>
          </w:p>
          <w:p w:rsidR="00D652A1" w:rsidRPr="00AC552B" w:rsidRDefault="00D652A1" w:rsidP="002F7E5A">
            <w:pPr>
              <w:numPr>
                <w:ilvl w:val="0"/>
                <w:numId w:val="22"/>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test and live access environments;</w:t>
            </w:r>
          </w:p>
          <w:p w:rsidR="00D652A1" w:rsidRPr="00AC552B" w:rsidRDefault="00D652A1" w:rsidP="002F7E5A">
            <w:pPr>
              <w:numPr>
                <w:ilvl w:val="0"/>
                <w:numId w:val="22"/>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Management of the Supplier system infrastructure, including performance and management of the central server configuration, encryption management, firewall management, data filter management and WAN management;</w:t>
            </w:r>
          </w:p>
          <w:p w:rsidR="00D652A1" w:rsidRPr="00AC552B" w:rsidRDefault="00D652A1" w:rsidP="002F7E5A">
            <w:pPr>
              <w:numPr>
                <w:ilvl w:val="0"/>
                <w:numId w:val="22"/>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lastRenderedPageBreak/>
              <w:t>Proactive monitoring of the Supplier system servers and related network for traffic and capacity, and shall report on traffic volumes, disk utilisation and percentage capacity free on disk, performance data, workload analysis, peaks and failures for each reporting period; and</w:t>
            </w:r>
          </w:p>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color w:val="000000"/>
                <w:sz w:val="24"/>
                <w:szCs w:val="24"/>
              </w:rPr>
              <w:t>Hosting of the Supplier system flexibly for the Supplier to host the system initially but with the ability for the Buyer to choose a different hosting environment of its own choice if required.</w:t>
            </w:r>
          </w:p>
        </w:tc>
      </w:tr>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lastRenderedPageBreak/>
              <w:t xml:space="preserve">e) </w:t>
            </w:r>
            <w:r w:rsidRPr="00AC552B">
              <w:rPr>
                <w:rFonts w:ascii="Arial" w:eastAsia="Arial" w:hAnsi="Arial" w:cs="Arial"/>
                <w:sz w:val="24"/>
                <w:szCs w:val="24"/>
              </w:rPr>
              <w:tab/>
            </w:r>
            <w:r w:rsidRPr="00AC552B">
              <w:rPr>
                <w:rFonts w:ascii="Arial" w:eastAsia="Arial" w:hAnsi="Arial" w:cs="Arial"/>
                <w:b/>
                <w:sz w:val="24"/>
                <w:szCs w:val="24"/>
              </w:rPr>
              <w:t>Data Handling and Validation</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pBdr>
                <w:top w:val="nil"/>
                <w:left w:val="nil"/>
                <w:bottom w:val="nil"/>
                <w:right w:val="nil"/>
                <w:between w:val="nil"/>
              </w:pBdr>
              <w:spacing w:before="240" w:after="240" w:line="240" w:lineRule="auto"/>
              <w:ind w:left="425"/>
              <w:rPr>
                <w:rFonts w:ascii="Arial" w:eastAsia="Arial" w:hAnsi="Arial" w:cs="Arial"/>
                <w:sz w:val="24"/>
                <w:szCs w:val="24"/>
              </w:rPr>
            </w:pPr>
            <w:r w:rsidRPr="00AC552B">
              <w:rPr>
                <w:rFonts w:ascii="Arial" w:eastAsia="Arial" w:hAnsi="Arial" w:cs="Arial"/>
                <w:sz w:val="24"/>
                <w:szCs w:val="24"/>
              </w:rPr>
              <w:t>Data handling and validation may include but will not be limited to the provision of the following services:</w:t>
            </w:r>
          </w:p>
          <w:p w:rsidR="00D652A1" w:rsidRPr="00AC552B" w:rsidRDefault="00D652A1" w:rsidP="002F7E5A">
            <w:pPr>
              <w:numPr>
                <w:ilvl w:val="0"/>
                <w:numId w:val="23"/>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Development of the specification of data extracts;</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Physical, secure transfer of extract data from source systems in multiple organisations to the location where the validation and loading process is to be undertaken;</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Regular refreshing of extract data, to support a refresh schedule throughout the lifetime of this Framework Contract and any Call Off Contracts;</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Processing capability for checking the quality and completeness of source data and to facilitate the ability to correct data errors within the source data prior to loading into the solution;</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Management of continuous improvement of data quality, through an iterative cleansing and mapping process;</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Building, operating, hosting and maintaining an analysis database ensuring that it is appropriately structured and optimised and has sufficient hardware resources to operate efficiently and effectively;</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Loading all extract data into this analysis database.</w:t>
            </w:r>
          </w:p>
          <w:p w:rsidR="00D652A1" w:rsidRPr="00AC552B" w:rsidRDefault="00D652A1" w:rsidP="002F7E5A">
            <w:pPr>
              <w:numPr>
                <w:ilvl w:val="0"/>
                <w:numId w:val="23"/>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sz w:val="24"/>
                <w:szCs w:val="24"/>
              </w:rPr>
              <w:t>D</w:t>
            </w:r>
            <w:r w:rsidRPr="00AC552B">
              <w:rPr>
                <w:rFonts w:ascii="Arial" w:eastAsia="Arial" w:hAnsi="Arial" w:cs="Arial"/>
                <w:color w:val="000000"/>
                <w:sz w:val="24"/>
                <w:szCs w:val="24"/>
              </w:rPr>
              <w:t>atabase administration services including:</w:t>
            </w:r>
          </w:p>
          <w:p w:rsidR="00D652A1" w:rsidRPr="00AC552B" w:rsidRDefault="00D652A1" w:rsidP="002F7E5A">
            <w:pPr>
              <w:numPr>
                <w:ilvl w:val="2"/>
                <w:numId w:val="23"/>
              </w:numPr>
              <w:pBdr>
                <w:top w:val="nil"/>
                <w:left w:val="nil"/>
                <w:bottom w:val="nil"/>
                <w:right w:val="nil"/>
                <w:between w:val="nil"/>
              </w:pBdr>
              <w:shd w:val="clear" w:color="auto" w:fill="FFFFFF"/>
              <w:spacing w:after="0" w:line="240" w:lineRule="auto"/>
              <w:rPr>
                <w:rFonts w:ascii="Arial" w:eastAsia="Arial" w:hAnsi="Arial" w:cs="Arial"/>
                <w:color w:val="333333"/>
                <w:sz w:val="24"/>
                <w:szCs w:val="24"/>
              </w:rPr>
            </w:pPr>
            <w:r w:rsidRPr="00AC552B">
              <w:rPr>
                <w:rFonts w:ascii="Arial" w:eastAsia="Arial" w:hAnsi="Arial" w:cs="Arial"/>
                <w:color w:val="333333"/>
                <w:sz w:val="24"/>
                <w:szCs w:val="24"/>
              </w:rPr>
              <w:t>installation of database software,</w:t>
            </w:r>
          </w:p>
          <w:p w:rsidR="00D652A1" w:rsidRPr="00AC552B" w:rsidRDefault="00D652A1" w:rsidP="002F7E5A">
            <w:pPr>
              <w:numPr>
                <w:ilvl w:val="2"/>
                <w:numId w:val="23"/>
              </w:numPr>
              <w:pBdr>
                <w:top w:val="nil"/>
                <w:left w:val="nil"/>
                <w:bottom w:val="nil"/>
                <w:right w:val="nil"/>
                <w:between w:val="nil"/>
              </w:pBdr>
              <w:shd w:val="clear" w:color="auto" w:fill="FFFFFF"/>
              <w:spacing w:after="0" w:line="240" w:lineRule="auto"/>
              <w:rPr>
                <w:rFonts w:ascii="Arial" w:eastAsia="Arial" w:hAnsi="Arial" w:cs="Arial"/>
                <w:color w:val="333333"/>
                <w:sz w:val="24"/>
                <w:szCs w:val="24"/>
              </w:rPr>
            </w:pPr>
            <w:r w:rsidRPr="00AC552B">
              <w:rPr>
                <w:rFonts w:ascii="Arial" w:eastAsia="Arial" w:hAnsi="Arial" w:cs="Arial"/>
                <w:color w:val="333333"/>
                <w:sz w:val="24"/>
                <w:szCs w:val="24"/>
              </w:rPr>
              <w:t>setup and configuration of database instances,</w:t>
            </w:r>
          </w:p>
          <w:p w:rsidR="00D652A1" w:rsidRPr="00AC552B" w:rsidRDefault="00D652A1" w:rsidP="002F7E5A">
            <w:pPr>
              <w:numPr>
                <w:ilvl w:val="2"/>
                <w:numId w:val="23"/>
              </w:numPr>
              <w:pBdr>
                <w:top w:val="nil"/>
                <w:left w:val="nil"/>
                <w:bottom w:val="nil"/>
                <w:right w:val="nil"/>
                <w:between w:val="nil"/>
              </w:pBdr>
              <w:shd w:val="clear" w:color="auto" w:fill="FFFFFF"/>
              <w:spacing w:after="0" w:line="240" w:lineRule="auto"/>
              <w:rPr>
                <w:rFonts w:ascii="Arial" w:eastAsia="Arial" w:hAnsi="Arial" w:cs="Arial"/>
                <w:color w:val="333333"/>
                <w:sz w:val="24"/>
                <w:szCs w:val="24"/>
              </w:rPr>
            </w:pPr>
            <w:r w:rsidRPr="00AC552B">
              <w:rPr>
                <w:rFonts w:ascii="Arial" w:eastAsia="Arial" w:hAnsi="Arial" w:cs="Arial"/>
                <w:color w:val="333333"/>
                <w:sz w:val="24"/>
                <w:szCs w:val="24"/>
              </w:rPr>
              <w:t>database security,</w:t>
            </w:r>
          </w:p>
          <w:p w:rsidR="00D652A1" w:rsidRPr="00AC552B" w:rsidRDefault="00D652A1" w:rsidP="002F7E5A">
            <w:pPr>
              <w:numPr>
                <w:ilvl w:val="2"/>
                <w:numId w:val="23"/>
              </w:numPr>
              <w:pBdr>
                <w:top w:val="nil"/>
                <w:left w:val="nil"/>
                <w:bottom w:val="nil"/>
                <w:right w:val="nil"/>
                <w:between w:val="nil"/>
              </w:pBdr>
              <w:shd w:val="clear" w:color="auto" w:fill="FFFFFF"/>
              <w:spacing w:after="0" w:line="240" w:lineRule="auto"/>
              <w:rPr>
                <w:rFonts w:ascii="Arial" w:eastAsia="Arial" w:hAnsi="Arial" w:cs="Arial"/>
                <w:color w:val="333333"/>
                <w:sz w:val="24"/>
                <w:szCs w:val="24"/>
              </w:rPr>
            </w:pPr>
            <w:r w:rsidRPr="00AC552B">
              <w:rPr>
                <w:rFonts w:ascii="Arial" w:eastAsia="Arial" w:hAnsi="Arial" w:cs="Arial"/>
                <w:color w:val="333333"/>
                <w:sz w:val="24"/>
                <w:szCs w:val="24"/>
              </w:rPr>
              <w:t>patching,</w:t>
            </w:r>
          </w:p>
          <w:p w:rsidR="00D652A1" w:rsidRPr="00AC552B" w:rsidRDefault="00D652A1" w:rsidP="002F7E5A">
            <w:pPr>
              <w:numPr>
                <w:ilvl w:val="2"/>
                <w:numId w:val="23"/>
              </w:numPr>
              <w:shd w:val="clear" w:color="auto" w:fill="FFFFFF"/>
              <w:spacing w:after="0" w:line="240" w:lineRule="auto"/>
              <w:rPr>
                <w:rFonts w:ascii="Arial" w:eastAsia="Arial" w:hAnsi="Arial" w:cs="Arial"/>
                <w:b/>
                <w:sz w:val="24"/>
                <w:szCs w:val="24"/>
              </w:rPr>
            </w:pPr>
            <w:r w:rsidRPr="00AC552B">
              <w:rPr>
                <w:rFonts w:ascii="Arial" w:eastAsia="Arial" w:hAnsi="Arial" w:cs="Arial"/>
                <w:color w:val="333333"/>
                <w:sz w:val="24"/>
                <w:szCs w:val="24"/>
              </w:rPr>
              <w:t>tuning and performance analysis,</w:t>
            </w:r>
            <w:r>
              <w:rPr>
                <w:rFonts w:ascii="Arial" w:eastAsia="Arial" w:hAnsi="Arial" w:cs="Arial"/>
                <w:color w:val="333333"/>
                <w:sz w:val="24"/>
                <w:szCs w:val="24"/>
              </w:rPr>
              <w:t xml:space="preserve"> troubleshooting.</w:t>
            </w:r>
          </w:p>
        </w:tc>
      </w:tr>
      <w:tr w:rsidR="00D652A1" w:rsidRPr="00AC552B" w:rsidTr="00B1650F">
        <w:trPr>
          <w:trHeight w:val="1025"/>
        </w:trPr>
        <w:tc>
          <w:tcPr>
            <w:tcW w:w="9025" w:type="dxa"/>
            <w:tcBorders>
              <w:top w:val="single" w:sz="4" w:space="0" w:color="auto"/>
              <w:left w:val="single" w:sz="4" w:space="0" w:color="auto"/>
              <w:bottom w:val="single" w:sz="4" w:space="0" w:color="auto"/>
              <w:right w:val="single" w:sz="4" w:space="0" w:color="auto"/>
            </w:tcBorders>
            <w:shd w:val="clear" w:color="auto" w:fill="CCCCCC"/>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 xml:space="preserve">f) </w:t>
            </w:r>
            <w:r w:rsidRPr="00AC552B">
              <w:rPr>
                <w:rFonts w:ascii="Arial" w:eastAsia="Arial" w:hAnsi="Arial" w:cs="Arial"/>
                <w:sz w:val="24"/>
                <w:szCs w:val="24"/>
              </w:rPr>
              <w:tab/>
            </w:r>
            <w:r w:rsidRPr="00AC552B">
              <w:rPr>
                <w:rFonts w:ascii="Arial" w:eastAsia="Arial" w:hAnsi="Arial" w:cs="Arial"/>
                <w:b/>
                <w:sz w:val="24"/>
                <w:szCs w:val="24"/>
              </w:rPr>
              <w:t>Solution Review Process</w:t>
            </w:r>
          </w:p>
          <w:p w:rsidR="00D652A1" w:rsidRPr="00AC552B" w:rsidRDefault="00D652A1" w:rsidP="00B1650F">
            <w:pPr>
              <w:tabs>
                <w:tab w:val="left" w:pos="709"/>
                <w:tab w:val="left" w:pos="284"/>
              </w:tabs>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4470"/>
        </w:trPr>
        <w:tc>
          <w:tcPr>
            <w:tcW w:w="902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lastRenderedPageBreak/>
              <w:t>Solution review process may include but will not be limited to the provision of the following services:</w:t>
            </w:r>
          </w:p>
          <w:p w:rsidR="00D652A1" w:rsidRPr="00AC552B" w:rsidRDefault="00D652A1" w:rsidP="002F7E5A">
            <w:pPr>
              <w:numPr>
                <w:ilvl w:val="0"/>
                <w:numId w:val="17"/>
              </w:numPr>
              <w:pBdr>
                <w:top w:val="nil"/>
                <w:left w:val="nil"/>
                <w:bottom w:val="nil"/>
                <w:right w:val="nil"/>
                <w:between w:val="nil"/>
              </w:pBdr>
              <w:spacing w:before="240" w:after="0" w:line="240" w:lineRule="auto"/>
              <w:rPr>
                <w:rFonts w:ascii="Arial" w:eastAsia="Arial" w:hAnsi="Arial" w:cs="Arial"/>
                <w:color w:val="000000"/>
                <w:sz w:val="24"/>
                <w:szCs w:val="24"/>
              </w:rPr>
            </w:pPr>
            <w:r w:rsidRPr="00AC552B">
              <w:rPr>
                <w:rFonts w:ascii="Arial" w:eastAsia="Arial" w:hAnsi="Arial" w:cs="Arial"/>
                <w:color w:val="000000"/>
                <w:sz w:val="24"/>
                <w:szCs w:val="24"/>
              </w:rPr>
              <w:t>The provision of a designated account manager to act as a single point of contact on all matters relating to the solution implemented;</w:t>
            </w:r>
          </w:p>
          <w:p w:rsidR="00D652A1" w:rsidRPr="00AC552B" w:rsidRDefault="00D652A1" w:rsidP="002F7E5A">
            <w:pPr>
              <w:numPr>
                <w:ilvl w:val="0"/>
                <w:numId w:val="17"/>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Regular solution performance review meetings with the Buyer (frequency and format to be agreed), to review the solution matters such as Service Levels/ Key Performance Indicators (KPIs), software upgrades, risks and issues, resource utilisation, implementation progress and to agree future requirements and developments, including innovation and continuous improvement plans;</w:t>
            </w:r>
          </w:p>
          <w:p w:rsidR="00D652A1" w:rsidRPr="00AC552B" w:rsidRDefault="00D652A1" w:rsidP="002F7E5A">
            <w:pPr>
              <w:numPr>
                <w:ilvl w:val="0"/>
                <w:numId w:val="17"/>
              </w:numPr>
              <w:pBdr>
                <w:top w:val="nil"/>
                <w:left w:val="nil"/>
                <w:bottom w:val="nil"/>
                <w:right w:val="nil"/>
                <w:between w:val="nil"/>
              </w:pBdr>
              <w:spacing w:after="0" w:line="240" w:lineRule="auto"/>
              <w:rPr>
                <w:rFonts w:ascii="Arial" w:eastAsia="Arial" w:hAnsi="Arial" w:cs="Arial"/>
                <w:color w:val="000000"/>
                <w:sz w:val="24"/>
                <w:szCs w:val="24"/>
              </w:rPr>
            </w:pPr>
            <w:r w:rsidRPr="00AC552B">
              <w:rPr>
                <w:rFonts w:ascii="Arial" w:eastAsia="Arial" w:hAnsi="Arial" w:cs="Arial"/>
                <w:color w:val="000000"/>
                <w:sz w:val="24"/>
                <w:szCs w:val="24"/>
              </w:rPr>
              <w:t>Provision of a Monthly report to support review meetings covering the items described above; and</w:t>
            </w:r>
          </w:p>
          <w:p w:rsidR="00D652A1" w:rsidRPr="00AC552B" w:rsidRDefault="00D652A1" w:rsidP="002F7E5A">
            <w:pPr>
              <w:numPr>
                <w:ilvl w:val="0"/>
                <w:numId w:val="17"/>
              </w:numPr>
              <w:pBdr>
                <w:top w:val="nil"/>
                <w:left w:val="nil"/>
                <w:bottom w:val="nil"/>
                <w:right w:val="nil"/>
                <w:between w:val="nil"/>
              </w:pBdr>
              <w:spacing w:after="240" w:line="240" w:lineRule="auto"/>
              <w:rPr>
                <w:rFonts w:ascii="Arial" w:eastAsia="Arial" w:hAnsi="Arial" w:cs="Arial"/>
                <w:color w:val="000000"/>
                <w:sz w:val="24"/>
                <w:szCs w:val="24"/>
              </w:rPr>
            </w:pPr>
            <w:r w:rsidRPr="00AC552B">
              <w:rPr>
                <w:rFonts w:ascii="Arial" w:eastAsia="Arial" w:hAnsi="Arial" w:cs="Arial"/>
                <w:color w:val="000000"/>
                <w:sz w:val="24"/>
                <w:szCs w:val="24"/>
              </w:rPr>
              <w:t>Maintenance of records and provide monthly performance reports to demonstrate the levels of service provided, enabling the Buyer to determine the Supplier’s overall performance in providing the solution.</w:t>
            </w:r>
          </w:p>
        </w:tc>
      </w:tr>
    </w:tbl>
    <w:p w:rsidR="00D652A1" w:rsidRPr="00AC552B" w:rsidRDefault="00D652A1" w:rsidP="00D652A1">
      <w:pPr>
        <w:spacing w:before="240" w:after="240" w:line="240" w:lineRule="auto"/>
        <w:rPr>
          <w:rFonts w:ascii="Arial" w:eastAsia="Arial" w:hAnsi="Arial" w:cs="Arial"/>
          <w:sz w:val="24"/>
          <w:szCs w:val="24"/>
        </w:rPr>
      </w:pPr>
    </w:p>
    <w:tbl>
      <w:tblPr>
        <w:tblW w:w="9135" w:type="dxa"/>
        <w:tblBorders>
          <w:top w:val="nil"/>
          <w:left w:val="nil"/>
          <w:bottom w:val="nil"/>
          <w:right w:val="nil"/>
          <w:insideH w:val="nil"/>
          <w:insideV w:val="nil"/>
        </w:tblBorders>
        <w:tblLayout w:type="fixed"/>
        <w:tblLook w:val="0600" w:firstRow="0" w:lastRow="0" w:firstColumn="0" w:lastColumn="0" w:noHBand="1" w:noVBand="1"/>
      </w:tblPr>
      <w:tblGrid>
        <w:gridCol w:w="9135"/>
      </w:tblGrid>
      <w:tr w:rsidR="00D652A1" w:rsidRPr="00AC552B" w:rsidTr="00B1650F">
        <w:trPr>
          <w:trHeight w:val="1440"/>
        </w:trPr>
        <w:tc>
          <w:tcPr>
            <w:tcW w:w="9135" w:type="dxa"/>
            <w:tcBorders>
              <w:top w:val="single" w:sz="4" w:space="0" w:color="auto"/>
              <w:left w:val="single" w:sz="4" w:space="0" w:color="auto"/>
              <w:bottom w:val="single" w:sz="4" w:space="0" w:color="auto"/>
              <w:right w:val="single" w:sz="4" w:space="0" w:color="auto"/>
            </w:tcBorders>
            <w:shd w:val="clear" w:color="auto" w:fill="B7B7B7"/>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 xml:space="preserve">g) </w:t>
            </w:r>
            <w:r w:rsidRPr="00AC552B">
              <w:rPr>
                <w:rFonts w:ascii="Arial" w:eastAsia="Arial" w:hAnsi="Arial" w:cs="Arial"/>
                <w:sz w:val="24"/>
                <w:szCs w:val="24"/>
              </w:rPr>
              <w:tab/>
            </w:r>
            <w:r w:rsidRPr="00AC552B">
              <w:rPr>
                <w:rFonts w:ascii="Arial" w:eastAsia="Arial" w:hAnsi="Arial" w:cs="Arial"/>
                <w:b/>
                <w:sz w:val="24"/>
                <w:szCs w:val="24"/>
              </w:rPr>
              <w:t>Managed Application Services</w:t>
            </w:r>
          </w:p>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The Supplier must provide the following if required by Buyers</w:t>
            </w:r>
          </w:p>
        </w:tc>
      </w:tr>
      <w:tr w:rsidR="00D652A1" w:rsidRPr="00AC552B" w:rsidTr="00B1650F">
        <w:trPr>
          <w:trHeight w:val="2189"/>
        </w:trPr>
        <w:tc>
          <w:tcPr>
            <w:tcW w:w="9135" w:type="dxa"/>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Managed Application services may include but will not be limited to the provision of the following services:</w:t>
            </w:r>
          </w:p>
          <w:p w:rsidR="00D652A1" w:rsidRPr="00AC552B" w:rsidRDefault="00D652A1" w:rsidP="00B1650F">
            <w:pPr>
              <w:spacing w:before="240"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support and maintenance for third party applications</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monitoring of application services on a Customer network</w:t>
            </w:r>
          </w:p>
          <w:p w:rsidR="00D652A1" w:rsidRPr="00AC552B" w:rsidRDefault="00D652A1" w:rsidP="00B1650F">
            <w:pPr>
              <w:spacing w:after="240"/>
              <w:ind w:left="1559" w:hanging="566"/>
              <w:rPr>
                <w:rFonts w:ascii="Arial" w:eastAsia="Arial" w:hAnsi="Arial" w:cs="Arial"/>
                <w:color w:val="202124"/>
                <w:sz w:val="24"/>
                <w:szCs w:val="24"/>
                <w:highlight w:val="white"/>
              </w:rPr>
            </w:pPr>
            <w:r w:rsidRPr="00AC552B">
              <w:rPr>
                <w:rFonts w:ascii="Arial" w:eastAsia="Arial" w:hAnsi="Arial" w:cs="Arial"/>
                <w:sz w:val="24"/>
                <w:szCs w:val="24"/>
              </w:rPr>
              <w:t xml:space="preserve">●   </w:t>
            </w:r>
            <w:r w:rsidRPr="00AC552B">
              <w:rPr>
                <w:rFonts w:ascii="Arial" w:eastAsia="Arial" w:hAnsi="Arial" w:cs="Arial"/>
                <w:sz w:val="24"/>
                <w:szCs w:val="24"/>
              </w:rPr>
              <w:tab/>
            </w:r>
            <w:r w:rsidRPr="00AC552B">
              <w:rPr>
                <w:rFonts w:ascii="Arial" w:eastAsia="Arial" w:hAnsi="Arial" w:cs="Arial"/>
                <w:color w:val="202124"/>
                <w:sz w:val="24"/>
                <w:szCs w:val="24"/>
                <w:highlight w:val="white"/>
              </w:rPr>
              <w:t>troubleshooting, modifying, maintaining and enhancing legacy systems</w:t>
            </w:r>
          </w:p>
        </w:tc>
      </w:tr>
      <w:tr w:rsidR="00D652A1" w:rsidRPr="00AC552B" w:rsidTr="00B1650F">
        <w:trPr>
          <w:trHeight w:val="1158"/>
        </w:trPr>
        <w:tc>
          <w:tcPr>
            <w:tcW w:w="9135" w:type="dxa"/>
            <w:tcBorders>
              <w:top w:val="single" w:sz="4" w:space="0" w:color="auto"/>
              <w:left w:val="single" w:sz="4" w:space="0" w:color="auto"/>
              <w:bottom w:val="single" w:sz="4" w:space="0" w:color="auto"/>
              <w:right w:val="single" w:sz="4" w:space="0" w:color="auto"/>
            </w:tcBorders>
            <w:shd w:val="clear" w:color="auto" w:fill="A6A6A6" w:themeFill="background1" w:themeFillShade="A6"/>
            <w:tcMar>
              <w:top w:w="100" w:type="dxa"/>
              <w:left w:w="100" w:type="dxa"/>
              <w:bottom w:w="100" w:type="dxa"/>
              <w:right w:w="100" w:type="dxa"/>
            </w:tcMar>
          </w:tcPr>
          <w:p w:rsidR="00D652A1" w:rsidRPr="00AC552B" w:rsidRDefault="00D652A1" w:rsidP="00B1650F">
            <w:pPr>
              <w:spacing w:before="240" w:after="240" w:line="240" w:lineRule="auto"/>
              <w:rPr>
                <w:rFonts w:ascii="Arial" w:eastAsia="Arial" w:hAnsi="Arial" w:cs="Arial"/>
                <w:b/>
                <w:sz w:val="24"/>
                <w:szCs w:val="24"/>
              </w:rPr>
            </w:pPr>
            <w:r w:rsidRPr="00AC552B">
              <w:rPr>
                <w:rFonts w:ascii="Arial" w:eastAsia="Arial" w:hAnsi="Arial" w:cs="Arial"/>
                <w:b/>
                <w:sz w:val="24"/>
                <w:szCs w:val="24"/>
              </w:rPr>
              <w:t xml:space="preserve">h) </w:t>
            </w:r>
            <w:r w:rsidRPr="00AC552B">
              <w:rPr>
                <w:rFonts w:ascii="Arial" w:eastAsia="Arial" w:hAnsi="Arial" w:cs="Arial"/>
                <w:sz w:val="24"/>
                <w:szCs w:val="24"/>
              </w:rPr>
              <w:tab/>
            </w:r>
            <w:r w:rsidRPr="00AC552B">
              <w:rPr>
                <w:rFonts w:ascii="Arial" w:eastAsia="Arial" w:hAnsi="Arial" w:cs="Arial"/>
                <w:b/>
                <w:sz w:val="24"/>
                <w:szCs w:val="24"/>
              </w:rPr>
              <w:t>Disaster Recovery and Backup Services</w:t>
            </w:r>
          </w:p>
          <w:p w:rsidR="00D652A1" w:rsidRPr="00AC552B" w:rsidRDefault="00D652A1" w:rsidP="00B1650F">
            <w:pPr>
              <w:spacing w:before="240" w:after="240" w:line="240" w:lineRule="auto"/>
              <w:rPr>
                <w:rFonts w:ascii="Arial" w:eastAsia="Arial" w:hAnsi="Arial" w:cs="Arial"/>
                <w:sz w:val="24"/>
                <w:szCs w:val="24"/>
              </w:rPr>
            </w:pPr>
            <w:r w:rsidRPr="00AC552B">
              <w:rPr>
                <w:rFonts w:ascii="Arial" w:eastAsia="Arial" w:hAnsi="Arial" w:cs="Arial"/>
                <w:b/>
                <w:sz w:val="24"/>
                <w:szCs w:val="24"/>
              </w:rPr>
              <w:t>The Supplier must provide the following if required by Buyers</w:t>
            </w:r>
            <w:r>
              <w:rPr>
                <w:rFonts w:ascii="Arial" w:eastAsia="Arial" w:hAnsi="Arial" w:cs="Arial"/>
                <w:b/>
                <w:sz w:val="24"/>
                <w:szCs w:val="24"/>
              </w:rPr>
              <w:t xml:space="preserve"> </w:t>
            </w:r>
          </w:p>
        </w:tc>
      </w:tr>
      <w:tr w:rsidR="00D652A1" w:rsidRPr="00AC552B" w:rsidTr="00B1650F">
        <w:trPr>
          <w:trHeight w:val="1158"/>
        </w:trPr>
        <w:tc>
          <w:tcPr>
            <w:tcW w:w="9135" w:type="dxa"/>
            <w:tcBorders>
              <w:top w:val="single" w:sz="4" w:space="0" w:color="auto"/>
              <w:left w:val="single" w:sz="4" w:space="0" w:color="auto"/>
              <w:bottom w:val="single" w:sz="4" w:space="0" w:color="auto"/>
              <w:right w:val="single" w:sz="4" w:space="0" w:color="auto"/>
            </w:tcBorders>
            <w:shd w:val="clear" w:color="auto" w:fill="FFFFFF" w:themeFill="background1"/>
            <w:tcMar>
              <w:top w:w="100" w:type="dxa"/>
              <w:left w:w="100" w:type="dxa"/>
              <w:bottom w:w="100" w:type="dxa"/>
              <w:right w:w="100" w:type="dxa"/>
            </w:tcMar>
          </w:tcPr>
          <w:p w:rsidR="00D652A1" w:rsidRPr="00AC552B" w:rsidRDefault="00D652A1" w:rsidP="00B1650F">
            <w:pPr>
              <w:spacing w:before="240" w:after="240" w:line="240" w:lineRule="auto"/>
              <w:ind w:left="425"/>
              <w:rPr>
                <w:rFonts w:ascii="Arial" w:eastAsia="Arial" w:hAnsi="Arial" w:cs="Arial"/>
                <w:sz w:val="24"/>
                <w:szCs w:val="24"/>
              </w:rPr>
            </w:pPr>
            <w:r w:rsidRPr="00AC552B">
              <w:rPr>
                <w:rFonts w:ascii="Arial" w:eastAsia="Arial" w:hAnsi="Arial" w:cs="Arial"/>
                <w:sz w:val="24"/>
                <w:szCs w:val="24"/>
              </w:rPr>
              <w:t>Disaster Recovery and Backup services may include but will not be limited to the provision of the following Services:</w:t>
            </w:r>
          </w:p>
          <w:p w:rsidR="00D652A1" w:rsidRPr="00AC552B" w:rsidRDefault="00D652A1" w:rsidP="00B1650F">
            <w:pPr>
              <w:spacing w:before="240" w:after="0"/>
              <w:ind w:left="1559" w:hanging="566"/>
              <w:rPr>
                <w:rFonts w:ascii="Arial" w:eastAsia="Arial" w:hAnsi="Arial" w:cs="Arial"/>
                <w:sz w:val="24"/>
                <w:szCs w:val="24"/>
              </w:rPr>
            </w:pPr>
            <w:r w:rsidRPr="00AC552B">
              <w:rPr>
                <w:rFonts w:ascii="Arial" w:eastAsia="Arial" w:hAnsi="Arial" w:cs="Arial"/>
                <w:sz w:val="24"/>
                <w:szCs w:val="24"/>
              </w:rPr>
              <w:lastRenderedPageBreak/>
              <w:t xml:space="preserve">●   </w:t>
            </w:r>
            <w:r w:rsidRPr="00AC552B">
              <w:rPr>
                <w:rFonts w:ascii="Arial" w:eastAsia="Arial" w:hAnsi="Arial" w:cs="Arial"/>
                <w:sz w:val="24"/>
                <w:szCs w:val="24"/>
              </w:rPr>
              <w:tab/>
              <w:t>services including Backup as a Service and Disaster Recovery as a Service</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data encryption</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change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incident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provisioning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patch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access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security management</w:t>
            </w:r>
          </w:p>
          <w:p w:rsidR="00D652A1" w:rsidRPr="00AC552B" w:rsidRDefault="00D652A1" w:rsidP="00B1650F">
            <w:pPr>
              <w:spacing w:after="0"/>
              <w:ind w:left="1559" w:hanging="566"/>
              <w:rPr>
                <w:rFonts w:ascii="Arial" w:eastAsia="Arial" w:hAnsi="Arial" w:cs="Arial"/>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continuity management</w:t>
            </w:r>
          </w:p>
          <w:p w:rsidR="00D652A1" w:rsidRPr="00AC552B" w:rsidRDefault="00D652A1" w:rsidP="00B1650F">
            <w:pPr>
              <w:spacing w:after="0"/>
              <w:ind w:left="1559" w:hanging="566"/>
              <w:rPr>
                <w:rFonts w:ascii="Arial" w:eastAsia="Arial" w:hAnsi="Arial" w:cs="Arial"/>
                <w:b/>
                <w:sz w:val="24"/>
                <w:szCs w:val="24"/>
              </w:rPr>
            </w:pPr>
            <w:r w:rsidRPr="00AC552B">
              <w:rPr>
                <w:rFonts w:ascii="Arial" w:eastAsia="Arial" w:hAnsi="Arial" w:cs="Arial"/>
                <w:sz w:val="24"/>
                <w:szCs w:val="24"/>
              </w:rPr>
              <w:t xml:space="preserve">●   </w:t>
            </w:r>
            <w:r w:rsidRPr="00AC552B">
              <w:rPr>
                <w:rFonts w:ascii="Arial" w:eastAsia="Arial" w:hAnsi="Arial" w:cs="Arial"/>
                <w:sz w:val="24"/>
                <w:szCs w:val="24"/>
              </w:rPr>
              <w:tab/>
              <w:t>monitoring, reporting and analytics</w:t>
            </w:r>
          </w:p>
        </w:tc>
      </w:tr>
    </w:tbl>
    <w:p w:rsidR="00D652A1" w:rsidRPr="00AC552B" w:rsidRDefault="00D652A1" w:rsidP="00D652A1">
      <w:pPr>
        <w:spacing w:before="240" w:after="240" w:line="240" w:lineRule="auto"/>
        <w:rPr>
          <w:rFonts w:ascii="Arial" w:eastAsia="Arial" w:hAnsi="Arial" w:cs="Arial"/>
          <w:sz w:val="24"/>
          <w:szCs w:val="24"/>
        </w:rPr>
      </w:pPr>
      <w:r w:rsidRPr="00AC552B">
        <w:rPr>
          <w:rFonts w:ascii="Arial" w:eastAsia="Arial" w:hAnsi="Arial" w:cs="Arial"/>
          <w:sz w:val="24"/>
          <w:szCs w:val="24"/>
        </w:rPr>
        <w:lastRenderedPageBreak/>
        <w:t xml:space="preserve"> </w:t>
      </w:r>
    </w:p>
    <w:p w:rsidR="00D652A1" w:rsidRPr="00AC552B" w:rsidRDefault="00D652A1" w:rsidP="00D652A1">
      <w:pPr>
        <w:pStyle w:val="Heading1"/>
        <w:spacing w:before="240" w:after="240" w:line="240" w:lineRule="auto"/>
        <w:ind w:left="425"/>
        <w:rPr>
          <w:rFonts w:ascii="Arial" w:hAnsi="Arial" w:cs="Arial"/>
          <w:sz w:val="24"/>
          <w:szCs w:val="24"/>
        </w:rPr>
      </w:pPr>
      <w:bookmarkStart w:id="4" w:name="_heading=h.7w887apwchu3" w:colFirst="0" w:colLast="0"/>
      <w:bookmarkEnd w:id="4"/>
      <w:r w:rsidRPr="00AC552B">
        <w:rPr>
          <w:rFonts w:ascii="Arial" w:hAnsi="Arial" w:cs="Arial"/>
          <w:sz w:val="24"/>
          <w:szCs w:val="24"/>
        </w:rPr>
        <w:t xml:space="preserve">3.  </w:t>
      </w:r>
      <w:r w:rsidRPr="00AC552B">
        <w:rPr>
          <w:rFonts w:ascii="Arial" w:hAnsi="Arial" w:cs="Arial"/>
          <w:sz w:val="24"/>
          <w:szCs w:val="24"/>
        </w:rPr>
        <w:tab/>
        <w:t>Standards and Accreditations</w:t>
      </w:r>
    </w:p>
    <w:p w:rsidR="00D652A1" w:rsidRPr="00AC552B" w:rsidRDefault="00D652A1" w:rsidP="00D652A1">
      <w:pPr>
        <w:spacing w:before="240" w:after="240"/>
        <w:ind w:left="850" w:hanging="566"/>
        <w:jc w:val="both"/>
        <w:rPr>
          <w:rFonts w:ascii="Arial" w:eastAsia="Arial" w:hAnsi="Arial" w:cs="Arial"/>
          <w:sz w:val="24"/>
          <w:szCs w:val="24"/>
        </w:rPr>
      </w:pPr>
      <w:r w:rsidRPr="00AC552B">
        <w:rPr>
          <w:rFonts w:ascii="Arial" w:eastAsia="Arial" w:hAnsi="Arial" w:cs="Arial"/>
          <w:b/>
          <w:sz w:val="24"/>
          <w:szCs w:val="24"/>
        </w:rPr>
        <w:t xml:space="preserve"> </w:t>
      </w:r>
      <w:r w:rsidRPr="00AC552B">
        <w:rPr>
          <w:rFonts w:ascii="Arial" w:eastAsia="Arial" w:hAnsi="Arial" w:cs="Arial"/>
          <w:sz w:val="24"/>
          <w:szCs w:val="24"/>
        </w:rPr>
        <w:t>3.1  The Supplier shall at all times during the Framework Contract, and the Term of any relevant Call-Off Contract, comply with the relevant Standards outlined below and shall also comply with any Standards required by Buyers set out during a Further Competition Procedure.</w:t>
      </w:r>
    </w:p>
    <w:p w:rsidR="00D652A1" w:rsidRPr="00AC552B" w:rsidRDefault="00D652A1" w:rsidP="00D652A1">
      <w:pPr>
        <w:pBdr>
          <w:top w:val="nil"/>
          <w:left w:val="nil"/>
          <w:bottom w:val="nil"/>
          <w:right w:val="nil"/>
          <w:between w:val="nil"/>
        </w:pBdr>
        <w:spacing w:before="240" w:after="240"/>
        <w:ind w:left="850" w:hanging="566"/>
        <w:jc w:val="both"/>
        <w:rPr>
          <w:rFonts w:ascii="Arial" w:eastAsia="Arial" w:hAnsi="Arial" w:cs="Arial"/>
          <w:sz w:val="24"/>
          <w:szCs w:val="24"/>
        </w:rPr>
      </w:pPr>
      <w:r w:rsidRPr="00AC552B">
        <w:rPr>
          <w:rFonts w:ascii="Arial" w:eastAsia="Arial" w:hAnsi="Arial" w:cs="Arial"/>
          <w:sz w:val="24"/>
          <w:szCs w:val="24"/>
        </w:rPr>
        <w:t xml:space="preserve">3.2  </w:t>
      </w:r>
      <w:r w:rsidRPr="00AC552B">
        <w:rPr>
          <w:rFonts w:ascii="Arial" w:eastAsia="Arial" w:hAnsi="Arial" w:cs="Arial"/>
          <w:sz w:val="24"/>
          <w:szCs w:val="24"/>
        </w:rPr>
        <w:tab/>
        <w:t>The Supplier shall comply with any Standing Instructions. The Supplier will bear the cost for implementation.</w:t>
      </w:r>
    </w:p>
    <w:p w:rsidR="00D652A1" w:rsidRPr="00AC552B" w:rsidRDefault="00D652A1" w:rsidP="00D652A1">
      <w:pPr>
        <w:pBdr>
          <w:top w:val="nil"/>
          <w:left w:val="nil"/>
          <w:bottom w:val="nil"/>
          <w:right w:val="nil"/>
          <w:between w:val="nil"/>
        </w:pBdr>
        <w:spacing w:before="240" w:after="240"/>
        <w:ind w:left="850" w:hanging="566"/>
        <w:jc w:val="both"/>
        <w:rPr>
          <w:rFonts w:ascii="Arial" w:eastAsia="Arial" w:hAnsi="Arial" w:cs="Arial"/>
          <w:b/>
          <w:sz w:val="24"/>
          <w:szCs w:val="24"/>
        </w:rPr>
      </w:pPr>
      <w:r w:rsidRPr="00AC552B">
        <w:rPr>
          <w:rFonts w:ascii="Arial" w:eastAsia="Arial" w:hAnsi="Arial" w:cs="Arial"/>
          <w:sz w:val="24"/>
          <w:szCs w:val="24"/>
        </w:rPr>
        <w:t xml:space="preserve">3.3   </w:t>
      </w:r>
      <w:r w:rsidRPr="00AC552B">
        <w:rPr>
          <w:rFonts w:ascii="Arial" w:eastAsia="Arial" w:hAnsi="Arial" w:cs="Arial"/>
          <w:sz w:val="24"/>
          <w:szCs w:val="24"/>
        </w:rPr>
        <w:tab/>
        <w:t xml:space="preserve">From time to time, the Supplier shall review the standards from the source to ensure it is up to date with any new editions. </w:t>
      </w:r>
    </w:p>
    <w:tbl>
      <w:tblPr>
        <w:tblW w:w="9375" w:type="dxa"/>
        <w:tblBorders>
          <w:top w:val="nil"/>
          <w:left w:val="nil"/>
          <w:bottom w:val="nil"/>
          <w:right w:val="nil"/>
          <w:insideH w:val="nil"/>
          <w:insideV w:val="nil"/>
        </w:tblBorders>
        <w:tblLayout w:type="fixed"/>
        <w:tblLook w:val="0600" w:firstRow="0" w:lastRow="0" w:firstColumn="0" w:lastColumn="0" w:noHBand="1" w:noVBand="1"/>
      </w:tblPr>
      <w:tblGrid>
        <w:gridCol w:w="1485"/>
        <w:gridCol w:w="7890"/>
      </w:tblGrid>
      <w:tr w:rsidR="00D652A1" w:rsidRPr="00AC552B" w:rsidTr="00B1650F">
        <w:trPr>
          <w:trHeight w:val="735"/>
        </w:trPr>
        <w:tc>
          <w:tcPr>
            <w:tcW w:w="9375" w:type="dxa"/>
            <w:gridSpan w:val="2"/>
            <w:tcBorders>
              <w:top w:val="single" w:sz="4" w:space="0" w:color="auto"/>
              <w:left w:val="single" w:sz="4" w:space="0" w:color="auto"/>
              <w:bottom w:val="single" w:sz="4" w:space="0" w:color="auto"/>
              <w:right w:val="single" w:sz="4" w:space="0" w:color="auto"/>
            </w:tcBorders>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(a)  Service Management</w:t>
            </w:r>
          </w:p>
        </w:tc>
      </w:tr>
      <w:tr w:rsidR="00D652A1" w:rsidRPr="00AC552B" w:rsidTr="00B1650F">
        <w:trPr>
          <w:trHeight w:val="885"/>
        </w:trPr>
        <w:tc>
          <w:tcPr>
            <w:tcW w:w="148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w:t>
            </w:r>
          </w:p>
        </w:tc>
        <w:tc>
          <w:tcPr>
            <w:tcW w:w="7890" w:type="dxa"/>
            <w:tcBorders>
              <w:top w:val="single" w:sz="4" w:space="0" w:color="auto"/>
              <w:left w:val="single" w:sz="4" w:space="0" w:color="auto"/>
              <w:bottom w:val="single" w:sz="4" w:space="0" w:color="auto"/>
              <w:right w:val="single" w:sz="8" w:space="0" w:color="000000"/>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BS EN ISO 9001 “Quality Management System” standard or equivalent.</w:t>
            </w:r>
          </w:p>
        </w:tc>
      </w:tr>
      <w:tr w:rsidR="00D652A1" w:rsidRPr="00AC552B" w:rsidTr="00B1650F">
        <w:trPr>
          <w:trHeight w:val="1155"/>
        </w:trPr>
        <w:tc>
          <w:tcPr>
            <w:tcW w:w="148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(ii)</w:t>
            </w:r>
          </w:p>
        </w:tc>
        <w:tc>
          <w:tcPr>
            <w:tcW w:w="789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ISO/IEC 20000-1 2018 “ITSM Specification for Service Management” or equivalent.</w:t>
            </w:r>
          </w:p>
        </w:tc>
      </w:tr>
      <w:tr w:rsidR="00D652A1" w:rsidRPr="00AC552B" w:rsidTr="00B1650F">
        <w:trPr>
          <w:trHeight w:val="1050"/>
        </w:trPr>
        <w:tc>
          <w:tcPr>
            <w:tcW w:w="148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 xml:space="preserve"> (iii)</w:t>
            </w:r>
          </w:p>
        </w:tc>
        <w:tc>
          <w:tcPr>
            <w:tcW w:w="789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ISO 10007:2017  “Quality management systems – Guidelines for configuration management”.</w:t>
            </w:r>
          </w:p>
        </w:tc>
      </w:tr>
    </w:tbl>
    <w:p w:rsidR="00D652A1" w:rsidRPr="00AC552B" w:rsidRDefault="00D652A1" w:rsidP="00D652A1">
      <w:pPr>
        <w:spacing w:before="240" w:after="240"/>
        <w:jc w:val="both"/>
        <w:rPr>
          <w:rFonts w:ascii="Arial" w:eastAsia="Arial" w:hAnsi="Arial" w:cs="Arial"/>
          <w:b/>
          <w:sz w:val="24"/>
          <w:szCs w:val="24"/>
        </w:rPr>
      </w:pPr>
      <w:r w:rsidRPr="00AC552B">
        <w:rPr>
          <w:rFonts w:ascii="Arial" w:eastAsia="Arial" w:hAnsi="Arial" w:cs="Arial"/>
          <w:b/>
          <w:sz w:val="24"/>
          <w:szCs w:val="24"/>
        </w:rPr>
        <w:t xml:space="preserve">  </w:t>
      </w:r>
    </w:p>
    <w:tbl>
      <w:tblPr>
        <w:tblW w:w="9390" w:type="dxa"/>
        <w:tblBorders>
          <w:top w:val="nil"/>
          <w:left w:val="nil"/>
          <w:bottom w:val="nil"/>
          <w:right w:val="nil"/>
          <w:insideH w:val="nil"/>
          <w:insideV w:val="nil"/>
        </w:tblBorders>
        <w:tblLayout w:type="fixed"/>
        <w:tblLook w:val="0600" w:firstRow="0" w:lastRow="0" w:firstColumn="0" w:lastColumn="0" w:noHBand="1" w:noVBand="1"/>
      </w:tblPr>
      <w:tblGrid>
        <w:gridCol w:w="1320"/>
        <w:gridCol w:w="8070"/>
      </w:tblGrid>
      <w:tr w:rsidR="00D652A1" w:rsidRPr="00AC552B" w:rsidTr="00B1650F">
        <w:trPr>
          <w:trHeight w:val="735"/>
        </w:trPr>
        <w:tc>
          <w:tcPr>
            <w:tcW w:w="9390"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lastRenderedPageBreak/>
              <w:t>(b)  Environmental / Sustainability</w:t>
            </w:r>
          </w:p>
        </w:tc>
      </w:tr>
      <w:tr w:rsidR="00D652A1" w:rsidRPr="00AC552B" w:rsidTr="00B1650F">
        <w:trPr>
          <w:trHeight w:val="1020"/>
        </w:trPr>
        <w:tc>
          <w:tcPr>
            <w:tcW w:w="13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w:t>
            </w:r>
          </w:p>
        </w:tc>
        <w:tc>
          <w:tcPr>
            <w:tcW w:w="807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BS EN ISO 14000 2015 Environmental Management System standard or equivalent.</w:t>
            </w:r>
          </w:p>
        </w:tc>
      </w:tr>
      <w:tr w:rsidR="00D652A1" w:rsidRPr="00AC552B" w:rsidTr="00B1650F">
        <w:trPr>
          <w:trHeight w:val="1140"/>
        </w:trPr>
        <w:tc>
          <w:tcPr>
            <w:tcW w:w="13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(ii)</w:t>
            </w:r>
          </w:p>
        </w:tc>
        <w:tc>
          <w:tcPr>
            <w:tcW w:w="807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Standards; Green Public Procurement Criteria</w:t>
            </w:r>
          </w:p>
          <w:p w:rsidR="00D652A1" w:rsidRPr="00AC552B" w:rsidRDefault="00931C68" w:rsidP="00B1650F">
            <w:pPr>
              <w:spacing w:before="120" w:after="120"/>
              <w:ind w:left="20"/>
              <w:jc w:val="both"/>
              <w:rPr>
                <w:rFonts w:ascii="Arial" w:eastAsia="Arial" w:hAnsi="Arial" w:cs="Arial"/>
                <w:color w:val="1155CC"/>
                <w:sz w:val="24"/>
                <w:szCs w:val="24"/>
                <w:u w:val="single"/>
              </w:rPr>
            </w:pPr>
            <w:hyperlink r:id="rId8">
              <w:r w:rsidR="00D652A1" w:rsidRPr="00AC552B">
                <w:rPr>
                  <w:rFonts w:ascii="Arial" w:eastAsia="Arial" w:hAnsi="Arial" w:cs="Arial"/>
                  <w:color w:val="1155CC"/>
                  <w:sz w:val="24"/>
                  <w:szCs w:val="24"/>
                  <w:u w:val="single"/>
                </w:rPr>
                <w:t>http://ec.europa.eu/environment/gpp/eu_gpp_criteria_en.htm</w:t>
              </w:r>
            </w:hyperlink>
          </w:p>
        </w:tc>
      </w:tr>
      <w:tr w:rsidR="00D652A1" w:rsidRPr="00AC552B" w:rsidTr="00B1650F">
        <w:trPr>
          <w:trHeight w:val="1425"/>
        </w:trPr>
        <w:tc>
          <w:tcPr>
            <w:tcW w:w="13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(iii)</w:t>
            </w:r>
          </w:p>
        </w:tc>
        <w:tc>
          <w:tcPr>
            <w:tcW w:w="807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Greening government ICT strategy</w:t>
            </w:r>
          </w:p>
          <w:p w:rsidR="00D652A1" w:rsidRPr="00AC552B" w:rsidRDefault="00931C68" w:rsidP="00B1650F">
            <w:pPr>
              <w:spacing w:before="120" w:after="120"/>
              <w:ind w:left="20"/>
              <w:jc w:val="both"/>
              <w:rPr>
                <w:rFonts w:ascii="Arial" w:eastAsia="Arial" w:hAnsi="Arial" w:cs="Arial"/>
                <w:color w:val="1155CC"/>
                <w:sz w:val="24"/>
                <w:szCs w:val="24"/>
                <w:u w:val="single"/>
              </w:rPr>
            </w:pPr>
            <w:hyperlink r:id="rId9">
              <w:r w:rsidR="00D652A1" w:rsidRPr="00AC552B">
                <w:rPr>
                  <w:rFonts w:ascii="Arial" w:eastAsia="Arial" w:hAnsi="Arial" w:cs="Arial"/>
                  <w:color w:val="1155CC"/>
                  <w:sz w:val="24"/>
                  <w:szCs w:val="24"/>
                  <w:u w:val="single"/>
                </w:rPr>
                <w:t>https://www.gov.uk/government/publications/greening-government-sustainable-technology-strategy-2020</w:t>
              </w:r>
            </w:hyperlink>
          </w:p>
        </w:tc>
      </w:tr>
    </w:tbl>
    <w:p w:rsidR="00D652A1" w:rsidRPr="00AC552B" w:rsidRDefault="00D652A1" w:rsidP="00D652A1">
      <w:pPr>
        <w:spacing w:before="120" w:after="120"/>
        <w:ind w:left="640"/>
        <w:jc w:val="both"/>
        <w:rPr>
          <w:rFonts w:ascii="Arial" w:eastAsia="Arial" w:hAnsi="Arial" w:cs="Arial"/>
          <w:b/>
          <w:sz w:val="24"/>
          <w:szCs w:val="24"/>
        </w:rPr>
      </w:pPr>
    </w:p>
    <w:tbl>
      <w:tblPr>
        <w:tblW w:w="9405" w:type="dxa"/>
        <w:tblBorders>
          <w:top w:val="nil"/>
          <w:left w:val="nil"/>
          <w:bottom w:val="nil"/>
          <w:right w:val="nil"/>
          <w:insideH w:val="nil"/>
          <w:insideV w:val="nil"/>
        </w:tblBorders>
        <w:tblLayout w:type="fixed"/>
        <w:tblLook w:val="0600" w:firstRow="0" w:lastRow="0" w:firstColumn="0" w:lastColumn="0" w:noHBand="1" w:noVBand="1"/>
      </w:tblPr>
      <w:tblGrid>
        <w:gridCol w:w="1380"/>
        <w:gridCol w:w="8025"/>
      </w:tblGrid>
      <w:tr w:rsidR="00D652A1" w:rsidRPr="00AC552B" w:rsidTr="00B1650F">
        <w:trPr>
          <w:trHeight w:val="735"/>
        </w:trPr>
        <w:tc>
          <w:tcPr>
            <w:tcW w:w="940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(c)  Accessible IT</w:t>
            </w:r>
          </w:p>
        </w:tc>
      </w:tr>
      <w:tr w:rsidR="00D652A1" w:rsidRPr="00AC552B" w:rsidTr="00B1650F">
        <w:trPr>
          <w:trHeight w:val="1575"/>
        </w:trPr>
        <w:tc>
          <w:tcPr>
            <w:tcW w:w="13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w:t>
            </w:r>
          </w:p>
        </w:tc>
        <w:tc>
          <w:tcPr>
            <w:tcW w:w="802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The World Wide Web Consortium (W3C) Web Accessibility Initiative (WAI) Web Content Accessibility Guidelines (WCAG) 2.1 Conformance Level AA.</w:t>
            </w:r>
          </w:p>
        </w:tc>
      </w:tr>
      <w:tr w:rsidR="00D652A1" w:rsidRPr="00AC552B" w:rsidTr="00B1650F">
        <w:trPr>
          <w:trHeight w:val="1860"/>
        </w:trPr>
        <w:tc>
          <w:tcPr>
            <w:tcW w:w="138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20"/>
              <w:jc w:val="both"/>
              <w:rPr>
                <w:rFonts w:ascii="Arial" w:eastAsia="Arial" w:hAnsi="Arial" w:cs="Arial"/>
                <w:sz w:val="24"/>
                <w:szCs w:val="24"/>
              </w:rPr>
            </w:pPr>
            <w:r w:rsidRPr="00AC552B">
              <w:rPr>
                <w:rFonts w:ascii="Arial" w:eastAsia="Arial" w:hAnsi="Arial" w:cs="Arial"/>
                <w:sz w:val="24"/>
                <w:szCs w:val="24"/>
              </w:rPr>
              <w:t>(ii)</w:t>
            </w:r>
          </w:p>
        </w:tc>
        <w:tc>
          <w:tcPr>
            <w:tcW w:w="802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20"/>
              <w:jc w:val="both"/>
              <w:rPr>
                <w:rFonts w:ascii="Arial" w:eastAsia="Arial" w:hAnsi="Arial" w:cs="Arial"/>
                <w:sz w:val="24"/>
                <w:szCs w:val="24"/>
              </w:rPr>
            </w:pPr>
            <w:r w:rsidRPr="00AC552B">
              <w:rPr>
                <w:rFonts w:ascii="Arial" w:eastAsia="Arial" w:hAnsi="Arial" w:cs="Arial"/>
                <w:sz w:val="24"/>
                <w:szCs w:val="24"/>
              </w:rPr>
              <w:t>ISO/IEC 13066-1:2011 Information Technology - Interoperability with assistive technology (AT) – Part 1: Requirements and recommendations for interoperability.</w:t>
            </w:r>
          </w:p>
        </w:tc>
      </w:tr>
    </w:tbl>
    <w:p w:rsidR="00D652A1" w:rsidRPr="00AC552B" w:rsidRDefault="00D652A1" w:rsidP="00D652A1">
      <w:pPr>
        <w:spacing w:before="120" w:after="120"/>
        <w:ind w:left="640"/>
        <w:jc w:val="both"/>
        <w:rPr>
          <w:rFonts w:ascii="Arial" w:eastAsia="Arial" w:hAnsi="Arial" w:cs="Arial"/>
          <w:b/>
          <w:sz w:val="24"/>
          <w:szCs w:val="24"/>
        </w:rPr>
      </w:pPr>
      <w:r w:rsidRPr="00AC552B">
        <w:rPr>
          <w:rFonts w:ascii="Arial" w:eastAsia="Arial" w:hAnsi="Arial" w:cs="Arial"/>
          <w:b/>
          <w:sz w:val="24"/>
          <w:szCs w:val="24"/>
        </w:rPr>
        <w:t xml:space="preserve">   </w:t>
      </w:r>
    </w:p>
    <w:tbl>
      <w:tblPr>
        <w:tblW w:w="9375" w:type="dxa"/>
        <w:tblBorders>
          <w:top w:val="nil"/>
          <w:left w:val="nil"/>
          <w:bottom w:val="nil"/>
          <w:right w:val="nil"/>
          <w:insideH w:val="nil"/>
          <w:insideV w:val="nil"/>
        </w:tblBorders>
        <w:tblLayout w:type="fixed"/>
        <w:tblLook w:val="0600" w:firstRow="0" w:lastRow="0" w:firstColumn="0" w:lastColumn="0" w:noHBand="1" w:noVBand="1"/>
      </w:tblPr>
      <w:tblGrid>
        <w:gridCol w:w="1275"/>
        <w:gridCol w:w="8100"/>
      </w:tblGrid>
      <w:tr w:rsidR="00D652A1" w:rsidRPr="00AC552B" w:rsidTr="00B1650F">
        <w:trPr>
          <w:trHeight w:val="735"/>
        </w:trPr>
        <w:tc>
          <w:tcPr>
            <w:tcW w:w="937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(d)  Information Technology</w:t>
            </w:r>
          </w:p>
        </w:tc>
      </w:tr>
      <w:tr w:rsidR="00D652A1" w:rsidRPr="00AC552B" w:rsidTr="00B1650F">
        <w:trPr>
          <w:trHeight w:val="1035"/>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80"/>
              <w:jc w:val="both"/>
              <w:rPr>
                <w:rFonts w:ascii="Arial" w:eastAsia="Arial" w:hAnsi="Arial" w:cs="Arial"/>
                <w:sz w:val="24"/>
                <w:szCs w:val="24"/>
              </w:rPr>
            </w:pPr>
            <w:r w:rsidRPr="00AC552B">
              <w:rPr>
                <w:rFonts w:ascii="Arial" w:eastAsia="Arial" w:hAnsi="Arial" w:cs="Arial"/>
                <w:sz w:val="24"/>
                <w:szCs w:val="24"/>
              </w:rPr>
              <w:t>(i)</w:t>
            </w:r>
          </w:p>
        </w:tc>
        <w:tc>
          <w:tcPr>
            <w:tcW w:w="810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80"/>
              <w:rPr>
                <w:rFonts w:ascii="Arial" w:eastAsia="Arial" w:hAnsi="Arial" w:cs="Arial"/>
                <w:sz w:val="24"/>
                <w:szCs w:val="24"/>
              </w:rPr>
            </w:pPr>
            <w:r w:rsidRPr="00AC552B">
              <w:rPr>
                <w:rFonts w:ascii="Arial" w:eastAsia="Arial" w:hAnsi="Arial" w:cs="Arial"/>
                <w:sz w:val="24"/>
                <w:szCs w:val="24"/>
              </w:rPr>
              <w:t>Open standard principles</w:t>
            </w:r>
          </w:p>
          <w:p w:rsidR="00D652A1" w:rsidRPr="00AC552B" w:rsidRDefault="00931C68" w:rsidP="00B1650F">
            <w:pPr>
              <w:spacing w:before="120" w:after="120"/>
              <w:ind w:left="180"/>
              <w:jc w:val="both"/>
              <w:rPr>
                <w:rFonts w:ascii="Arial" w:eastAsia="Arial" w:hAnsi="Arial" w:cs="Arial"/>
                <w:color w:val="1155CC"/>
                <w:sz w:val="24"/>
                <w:szCs w:val="24"/>
                <w:u w:val="single"/>
              </w:rPr>
            </w:pPr>
            <w:hyperlink r:id="rId10">
              <w:r w:rsidR="00D652A1" w:rsidRPr="00AC552B">
                <w:rPr>
                  <w:rFonts w:ascii="Arial" w:eastAsia="Arial" w:hAnsi="Arial" w:cs="Arial"/>
                  <w:color w:val="1155CC"/>
                  <w:sz w:val="24"/>
                  <w:szCs w:val="24"/>
                  <w:u w:val="single"/>
                </w:rPr>
                <w:t>https://www.gov.uk/government/publications/open-standards-principles</w:t>
              </w:r>
            </w:hyperlink>
          </w:p>
        </w:tc>
      </w:tr>
      <w:tr w:rsidR="00D652A1" w:rsidRPr="00AC552B" w:rsidTr="00B1650F">
        <w:trPr>
          <w:trHeight w:val="1425"/>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80"/>
              <w:jc w:val="both"/>
              <w:rPr>
                <w:rFonts w:ascii="Arial" w:eastAsia="Arial" w:hAnsi="Arial" w:cs="Arial"/>
                <w:sz w:val="24"/>
                <w:szCs w:val="24"/>
              </w:rPr>
            </w:pPr>
            <w:r w:rsidRPr="00AC552B">
              <w:rPr>
                <w:rFonts w:ascii="Arial" w:eastAsia="Arial" w:hAnsi="Arial" w:cs="Arial"/>
                <w:sz w:val="24"/>
                <w:szCs w:val="24"/>
              </w:rPr>
              <w:lastRenderedPageBreak/>
              <w:t>(ii)</w:t>
            </w:r>
          </w:p>
        </w:tc>
        <w:tc>
          <w:tcPr>
            <w:tcW w:w="810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80"/>
              <w:jc w:val="both"/>
              <w:rPr>
                <w:rFonts w:ascii="Arial" w:eastAsia="Arial" w:hAnsi="Arial" w:cs="Arial"/>
                <w:sz w:val="24"/>
                <w:szCs w:val="24"/>
              </w:rPr>
            </w:pPr>
            <w:r w:rsidRPr="00AC552B">
              <w:rPr>
                <w:rFonts w:ascii="Arial" w:eastAsia="Arial" w:hAnsi="Arial" w:cs="Arial"/>
                <w:sz w:val="24"/>
                <w:szCs w:val="24"/>
              </w:rPr>
              <w:t>Government open data standards</w:t>
            </w:r>
          </w:p>
          <w:p w:rsidR="00D652A1" w:rsidRPr="00AC552B" w:rsidRDefault="00931C68" w:rsidP="00B1650F">
            <w:pPr>
              <w:spacing w:before="120" w:after="120"/>
              <w:ind w:left="180"/>
              <w:jc w:val="both"/>
              <w:rPr>
                <w:rFonts w:ascii="Arial" w:eastAsia="Arial" w:hAnsi="Arial" w:cs="Arial"/>
                <w:color w:val="1155CC"/>
                <w:sz w:val="24"/>
                <w:szCs w:val="24"/>
                <w:u w:val="single"/>
              </w:rPr>
            </w:pPr>
            <w:hyperlink r:id="rId11">
              <w:r w:rsidR="00D652A1" w:rsidRPr="00AC552B">
                <w:rPr>
                  <w:rFonts w:ascii="Arial" w:eastAsia="Arial" w:hAnsi="Arial" w:cs="Arial"/>
                  <w:color w:val="1155CC"/>
                  <w:sz w:val="24"/>
                  <w:szCs w:val="24"/>
                  <w:u w:val="single"/>
                </w:rPr>
                <w:t>https://www.gov.uk/government/publications/open-standards-for-government</w:t>
              </w:r>
            </w:hyperlink>
          </w:p>
        </w:tc>
      </w:tr>
      <w:tr w:rsidR="00D652A1" w:rsidRPr="00AC552B" w:rsidTr="00B1650F">
        <w:trPr>
          <w:trHeight w:val="1425"/>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80"/>
              <w:jc w:val="both"/>
              <w:rPr>
                <w:rFonts w:ascii="Arial" w:eastAsia="Arial" w:hAnsi="Arial" w:cs="Arial"/>
                <w:sz w:val="24"/>
                <w:szCs w:val="24"/>
              </w:rPr>
            </w:pPr>
            <w:r w:rsidRPr="00AC552B">
              <w:rPr>
                <w:rFonts w:ascii="Arial" w:eastAsia="Arial" w:hAnsi="Arial" w:cs="Arial"/>
                <w:sz w:val="24"/>
                <w:szCs w:val="24"/>
              </w:rPr>
              <w:t>(iii)</w:t>
            </w:r>
          </w:p>
        </w:tc>
        <w:tc>
          <w:tcPr>
            <w:tcW w:w="810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80"/>
              <w:jc w:val="both"/>
              <w:rPr>
                <w:rFonts w:ascii="Arial" w:eastAsia="Arial" w:hAnsi="Arial" w:cs="Arial"/>
                <w:sz w:val="24"/>
                <w:szCs w:val="24"/>
              </w:rPr>
            </w:pPr>
            <w:r w:rsidRPr="00AC552B">
              <w:rPr>
                <w:rFonts w:ascii="Arial" w:eastAsia="Arial" w:hAnsi="Arial" w:cs="Arial"/>
                <w:sz w:val="24"/>
                <w:szCs w:val="24"/>
              </w:rPr>
              <w:t>Technology code of practice</w:t>
            </w:r>
          </w:p>
          <w:p w:rsidR="00D652A1" w:rsidRPr="00AC552B" w:rsidRDefault="00931C68" w:rsidP="00B1650F">
            <w:pPr>
              <w:spacing w:before="120" w:after="120"/>
              <w:ind w:left="180"/>
              <w:jc w:val="both"/>
              <w:rPr>
                <w:rFonts w:ascii="Arial" w:eastAsia="Arial" w:hAnsi="Arial" w:cs="Arial"/>
                <w:color w:val="1155CC"/>
                <w:sz w:val="24"/>
                <w:szCs w:val="24"/>
                <w:u w:val="single"/>
              </w:rPr>
            </w:pPr>
            <w:hyperlink r:id="rId12">
              <w:r w:rsidR="00D652A1" w:rsidRPr="00AC552B">
                <w:rPr>
                  <w:rFonts w:ascii="Arial" w:eastAsia="Arial" w:hAnsi="Arial" w:cs="Arial"/>
                  <w:color w:val="1155CC"/>
                  <w:sz w:val="24"/>
                  <w:szCs w:val="24"/>
                  <w:u w:val="single"/>
                </w:rPr>
                <w:t>https://www.gov.uk/government/publications/technology-code-of-practice/technology-code-of-practice</w:t>
              </w:r>
            </w:hyperlink>
          </w:p>
        </w:tc>
      </w:tr>
    </w:tbl>
    <w:p w:rsidR="00D652A1" w:rsidRPr="00AC552B" w:rsidRDefault="00D652A1" w:rsidP="00D652A1">
      <w:pPr>
        <w:spacing w:before="120" w:after="120"/>
        <w:jc w:val="both"/>
        <w:rPr>
          <w:rFonts w:ascii="Arial" w:eastAsia="Arial" w:hAnsi="Arial" w:cs="Arial"/>
          <w:b/>
          <w:sz w:val="24"/>
          <w:szCs w:val="24"/>
        </w:rPr>
      </w:pPr>
      <w:r w:rsidRPr="00AC552B">
        <w:rPr>
          <w:rFonts w:ascii="Arial" w:eastAsia="Arial" w:hAnsi="Arial" w:cs="Arial"/>
          <w:b/>
          <w:sz w:val="24"/>
          <w:szCs w:val="24"/>
        </w:rPr>
        <w:t xml:space="preserve"> </w:t>
      </w:r>
    </w:p>
    <w:tbl>
      <w:tblPr>
        <w:tblW w:w="9450" w:type="dxa"/>
        <w:tblBorders>
          <w:top w:val="nil"/>
          <w:left w:val="nil"/>
          <w:bottom w:val="nil"/>
          <w:right w:val="nil"/>
          <w:insideH w:val="nil"/>
          <w:insideV w:val="nil"/>
        </w:tblBorders>
        <w:tblLayout w:type="fixed"/>
        <w:tblLook w:val="0600" w:firstRow="0" w:lastRow="0" w:firstColumn="0" w:lastColumn="0" w:noHBand="1" w:noVBand="1"/>
      </w:tblPr>
      <w:tblGrid>
        <w:gridCol w:w="1305"/>
        <w:gridCol w:w="8145"/>
      </w:tblGrid>
      <w:tr w:rsidR="00D652A1" w:rsidRPr="00AC552B" w:rsidTr="00B1650F">
        <w:trPr>
          <w:trHeight w:val="735"/>
        </w:trPr>
        <w:tc>
          <w:tcPr>
            <w:tcW w:w="9450"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(e)  External Connectivity Standards (optional)</w:t>
            </w:r>
          </w:p>
        </w:tc>
      </w:tr>
      <w:tr w:rsidR="00D652A1" w:rsidRPr="00AC552B" w:rsidTr="00B1650F">
        <w:trPr>
          <w:trHeight w:val="855"/>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PCI DSS V3.2.1 (Card payment network)</w:t>
            </w:r>
          </w:p>
        </w:tc>
      </w:tr>
      <w:tr w:rsidR="00D652A1" w:rsidRPr="00AC552B" w:rsidTr="00B1650F">
        <w:trPr>
          <w:trHeight w:val="600"/>
        </w:trPr>
        <w:tc>
          <w:tcPr>
            <w:tcW w:w="9450"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jc w:val="both"/>
              <w:rPr>
                <w:rFonts w:ascii="Arial" w:eastAsia="Arial" w:hAnsi="Arial" w:cs="Arial"/>
                <w:b/>
                <w:sz w:val="24"/>
                <w:szCs w:val="24"/>
              </w:rPr>
            </w:pPr>
            <w:r w:rsidRPr="00AC552B">
              <w:rPr>
                <w:rFonts w:ascii="Arial" w:eastAsia="Arial" w:hAnsi="Arial" w:cs="Arial"/>
                <w:b/>
                <w:sz w:val="24"/>
                <w:szCs w:val="24"/>
              </w:rPr>
              <w:t>(f)   Architecture Standards</w:t>
            </w:r>
          </w:p>
        </w:tc>
      </w:tr>
      <w:tr w:rsidR="00D652A1" w:rsidRPr="00AC552B" w:rsidTr="00B1650F">
        <w:trPr>
          <w:trHeight w:val="945"/>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line="240" w:lineRule="auto"/>
              <w:ind w:left="920"/>
              <w:rPr>
                <w:rFonts w:ascii="Arial" w:eastAsia="Arial" w:hAnsi="Arial" w:cs="Arial"/>
                <w:sz w:val="24"/>
                <w:szCs w:val="24"/>
              </w:rPr>
            </w:pPr>
            <w:r w:rsidRPr="00AC552B">
              <w:rPr>
                <w:rFonts w:ascii="Arial" w:eastAsia="Arial" w:hAnsi="Arial" w:cs="Arial"/>
                <w:sz w:val="24"/>
                <w:szCs w:val="24"/>
              </w:rPr>
              <w:t>TOGAF 9.2 Architecture Framework and Standards or equivalent</w:t>
            </w:r>
          </w:p>
        </w:tc>
      </w:tr>
      <w:tr w:rsidR="00D652A1" w:rsidRPr="00AC552B" w:rsidTr="00B1650F">
        <w:trPr>
          <w:trHeight w:val="945"/>
        </w:trPr>
        <w:tc>
          <w:tcPr>
            <w:tcW w:w="9450"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jc w:val="both"/>
              <w:rPr>
                <w:rFonts w:ascii="Arial" w:eastAsia="Arial" w:hAnsi="Arial" w:cs="Arial"/>
                <w:b/>
                <w:sz w:val="24"/>
                <w:szCs w:val="24"/>
              </w:rPr>
            </w:pPr>
            <w:r w:rsidRPr="00AC552B">
              <w:rPr>
                <w:rFonts w:ascii="Arial" w:eastAsia="Arial" w:hAnsi="Arial" w:cs="Arial"/>
                <w:b/>
                <w:sz w:val="24"/>
                <w:szCs w:val="24"/>
              </w:rPr>
              <w:t>(g) Information Security and Cyber Essentials</w:t>
            </w:r>
          </w:p>
        </w:tc>
      </w:tr>
      <w:tr w:rsidR="00D652A1" w:rsidRPr="00AC552B" w:rsidTr="00B1650F">
        <w:trPr>
          <w:trHeight w:val="1020"/>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highlight w:val="white"/>
              </w:rPr>
              <w:t>I</w:t>
            </w:r>
            <w:r w:rsidRPr="00AC552B">
              <w:rPr>
                <w:rFonts w:ascii="Arial" w:eastAsia="Arial" w:hAnsi="Arial" w:cs="Arial"/>
                <w:sz w:val="24"/>
                <w:szCs w:val="24"/>
              </w:rPr>
              <w:t>SO/IEC 27001:2013 Information Security Management standard or equivalent.</w:t>
            </w:r>
          </w:p>
        </w:tc>
      </w:tr>
      <w:tr w:rsidR="00D652A1" w:rsidRPr="00AC552B" w:rsidTr="00B1650F">
        <w:trPr>
          <w:trHeight w:val="1425"/>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Government Security Policy Framework</w:t>
            </w:r>
          </w:p>
          <w:p w:rsidR="00D652A1" w:rsidRPr="00AC552B" w:rsidRDefault="00931C68" w:rsidP="00B1650F">
            <w:pPr>
              <w:spacing w:before="120" w:after="120"/>
              <w:ind w:left="140"/>
              <w:jc w:val="both"/>
              <w:rPr>
                <w:rFonts w:ascii="Arial" w:eastAsia="Arial" w:hAnsi="Arial" w:cs="Arial"/>
                <w:color w:val="1155CC"/>
                <w:sz w:val="24"/>
                <w:szCs w:val="24"/>
                <w:u w:val="single"/>
              </w:rPr>
            </w:pPr>
            <w:hyperlink r:id="rId13">
              <w:r w:rsidR="00D652A1" w:rsidRPr="00AC552B">
                <w:rPr>
                  <w:rFonts w:ascii="Arial" w:eastAsia="Arial" w:hAnsi="Arial" w:cs="Arial"/>
                  <w:color w:val="1155CC"/>
                  <w:sz w:val="24"/>
                  <w:szCs w:val="24"/>
                  <w:u w:val="single"/>
                </w:rPr>
                <w:t>https://www.gov.uk/government/publications/security-policy-framework</w:t>
              </w:r>
            </w:hyperlink>
          </w:p>
        </w:tc>
      </w:tr>
      <w:tr w:rsidR="00D652A1" w:rsidRPr="00AC552B" w:rsidTr="00B1650F">
        <w:trPr>
          <w:trHeight w:val="1050"/>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(iii)</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Cyber Security for Consumer IoT</w:t>
            </w:r>
          </w:p>
          <w:p w:rsidR="00D652A1" w:rsidRPr="00AC552B" w:rsidRDefault="00931C68" w:rsidP="00B1650F">
            <w:pPr>
              <w:spacing w:before="120" w:after="120"/>
              <w:ind w:left="140"/>
              <w:jc w:val="both"/>
              <w:rPr>
                <w:rFonts w:ascii="Arial" w:eastAsia="Arial" w:hAnsi="Arial" w:cs="Arial"/>
                <w:color w:val="1155CC"/>
                <w:sz w:val="24"/>
                <w:szCs w:val="24"/>
                <w:highlight w:val="white"/>
                <w:u w:val="single"/>
              </w:rPr>
            </w:pPr>
            <w:hyperlink r:id="rId14">
              <w:r w:rsidR="00D652A1" w:rsidRPr="00AC552B">
                <w:rPr>
                  <w:rFonts w:ascii="Arial" w:eastAsia="Arial" w:hAnsi="Arial" w:cs="Arial"/>
                  <w:color w:val="1155CC"/>
                  <w:sz w:val="24"/>
                  <w:szCs w:val="24"/>
                  <w:highlight w:val="white"/>
                  <w:u w:val="single"/>
                </w:rPr>
                <w:t>https://www.gov.uk/government/collections/secure-by-design</w:t>
              </w:r>
            </w:hyperlink>
          </w:p>
        </w:tc>
      </w:tr>
      <w:tr w:rsidR="00D652A1" w:rsidRPr="00AC552B" w:rsidTr="00B1650F">
        <w:trPr>
          <w:trHeight w:val="1575"/>
        </w:trPr>
        <w:tc>
          <w:tcPr>
            <w:tcW w:w="130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lastRenderedPageBreak/>
              <w:t>(iv)</w:t>
            </w:r>
          </w:p>
        </w:tc>
        <w:tc>
          <w:tcPr>
            <w:tcW w:w="814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color w:val="1155CC"/>
                <w:sz w:val="24"/>
                <w:szCs w:val="24"/>
                <w:u w:val="single"/>
              </w:rPr>
            </w:pPr>
            <w:r w:rsidRPr="00AC552B">
              <w:rPr>
                <w:rFonts w:ascii="Arial" w:eastAsia="Arial" w:hAnsi="Arial" w:cs="Arial"/>
                <w:sz w:val="24"/>
                <w:szCs w:val="24"/>
              </w:rPr>
              <w:t>Cyber Essentials Scheme Basic Certificate and/or Cyber Essentials Scheme Plus Certificate -</w:t>
            </w:r>
            <w:hyperlink r:id="rId15">
              <w:r w:rsidRPr="00AC552B">
                <w:rPr>
                  <w:rFonts w:ascii="Arial" w:eastAsia="Arial" w:hAnsi="Arial" w:cs="Arial"/>
                  <w:color w:val="1155CC"/>
                  <w:sz w:val="24"/>
                  <w:szCs w:val="24"/>
                </w:rPr>
                <w:t xml:space="preserve"> </w:t>
              </w:r>
            </w:hyperlink>
            <w:hyperlink r:id="rId16">
              <w:r w:rsidRPr="00AC552B">
                <w:rPr>
                  <w:rFonts w:ascii="Arial" w:eastAsia="Arial" w:hAnsi="Arial" w:cs="Arial"/>
                  <w:color w:val="1155CC"/>
                  <w:sz w:val="24"/>
                  <w:szCs w:val="24"/>
                  <w:u w:val="single"/>
                </w:rPr>
                <w:t>https://www.gov.uk/government/publications/cyber-essentials-scheme-overview</w:t>
              </w:r>
            </w:hyperlink>
          </w:p>
        </w:tc>
      </w:tr>
    </w:tbl>
    <w:p w:rsidR="00D652A1" w:rsidRPr="00AC552B" w:rsidRDefault="00D652A1" w:rsidP="00D652A1">
      <w:pPr>
        <w:spacing w:before="120" w:after="120"/>
        <w:jc w:val="both"/>
        <w:rPr>
          <w:rFonts w:ascii="Arial" w:eastAsia="Arial" w:hAnsi="Arial" w:cs="Arial"/>
          <w:b/>
          <w:sz w:val="24"/>
          <w:szCs w:val="24"/>
        </w:rPr>
      </w:pPr>
    </w:p>
    <w:tbl>
      <w:tblPr>
        <w:tblW w:w="9405" w:type="dxa"/>
        <w:tblBorders>
          <w:top w:val="nil"/>
          <w:left w:val="nil"/>
          <w:bottom w:val="nil"/>
          <w:right w:val="nil"/>
          <w:insideH w:val="nil"/>
          <w:insideV w:val="nil"/>
        </w:tblBorders>
        <w:tblLayout w:type="fixed"/>
        <w:tblLook w:val="0600" w:firstRow="0" w:lastRow="0" w:firstColumn="0" w:lastColumn="0" w:noHBand="1" w:noVBand="1"/>
      </w:tblPr>
      <w:tblGrid>
        <w:gridCol w:w="1185"/>
        <w:gridCol w:w="8220"/>
      </w:tblGrid>
      <w:tr w:rsidR="00D652A1" w:rsidRPr="00AC552B" w:rsidTr="00B1650F">
        <w:trPr>
          <w:trHeight w:val="735"/>
        </w:trPr>
        <w:tc>
          <w:tcPr>
            <w:tcW w:w="940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(h) Miscellaneous</w:t>
            </w:r>
          </w:p>
        </w:tc>
      </w:tr>
      <w:tr w:rsidR="00D652A1" w:rsidRPr="00AC552B" w:rsidTr="00B1650F">
        <w:trPr>
          <w:trHeight w:val="2115"/>
        </w:trPr>
        <w:tc>
          <w:tcPr>
            <w:tcW w:w="118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22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The Suppliers shall comply with the Government's supplier standard for digital and technology service providers</w:t>
            </w:r>
          </w:p>
          <w:p w:rsidR="00D652A1" w:rsidRPr="00AC552B" w:rsidRDefault="00931C68" w:rsidP="00B1650F">
            <w:pPr>
              <w:spacing w:before="120" w:after="120"/>
              <w:ind w:left="140"/>
              <w:jc w:val="both"/>
              <w:rPr>
                <w:rFonts w:ascii="Arial" w:eastAsia="Arial" w:hAnsi="Arial" w:cs="Arial"/>
                <w:color w:val="0000FF"/>
                <w:sz w:val="24"/>
                <w:szCs w:val="24"/>
                <w:u w:val="single"/>
              </w:rPr>
            </w:pPr>
            <w:hyperlink r:id="rId17">
              <w:r w:rsidR="00D652A1" w:rsidRPr="00AC552B">
                <w:rPr>
                  <w:rFonts w:ascii="Arial" w:eastAsia="Arial" w:hAnsi="Arial" w:cs="Arial"/>
                  <w:color w:val="0000FF"/>
                  <w:sz w:val="24"/>
                  <w:szCs w:val="24"/>
                  <w:u w:val="single"/>
                </w:rPr>
                <w:t>https://www.gov.uk/government/consultations/supplier-standard-for-digital-and-technology-service-providers/supplier-standard-for-digital-and-technology-service-providers</w:t>
              </w:r>
            </w:hyperlink>
          </w:p>
        </w:tc>
      </w:tr>
      <w:tr w:rsidR="00D652A1" w:rsidRPr="00AC552B" w:rsidTr="00B1650F">
        <w:trPr>
          <w:trHeight w:val="795"/>
        </w:trPr>
        <w:tc>
          <w:tcPr>
            <w:tcW w:w="940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jc w:val="both"/>
              <w:rPr>
                <w:rFonts w:ascii="Arial" w:eastAsia="Arial" w:hAnsi="Arial" w:cs="Arial"/>
                <w:b/>
                <w:sz w:val="24"/>
                <w:szCs w:val="24"/>
              </w:rPr>
            </w:pPr>
            <w:r w:rsidRPr="00AC552B">
              <w:rPr>
                <w:rFonts w:ascii="Arial" w:eastAsia="Arial" w:hAnsi="Arial" w:cs="Arial"/>
                <w:b/>
                <w:sz w:val="24"/>
                <w:szCs w:val="24"/>
              </w:rPr>
              <w:t>(i) Portfolio, Programme and Project Management Standards</w:t>
            </w:r>
          </w:p>
        </w:tc>
      </w:tr>
      <w:tr w:rsidR="00D652A1" w:rsidRPr="00AC552B" w:rsidTr="00B1650F">
        <w:trPr>
          <w:trHeight w:val="795"/>
        </w:trPr>
        <w:tc>
          <w:tcPr>
            <w:tcW w:w="1185" w:type="dxa"/>
            <w:tcBorders>
              <w:top w:val="single" w:sz="4" w:space="0" w:color="auto"/>
              <w:left w:val="single" w:sz="4" w:space="0" w:color="auto"/>
              <w:bottom w:val="single" w:sz="4" w:space="0" w:color="auto"/>
              <w:right w:val="single" w:sz="8" w:space="0" w:color="000000"/>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8220" w:type="dxa"/>
            <w:tcBorders>
              <w:top w:val="single" w:sz="4" w:space="0" w:color="auto"/>
              <w:left w:val="nil"/>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line="240" w:lineRule="auto"/>
              <w:ind w:left="920"/>
              <w:rPr>
                <w:rFonts w:ascii="Arial" w:eastAsia="Arial" w:hAnsi="Arial" w:cs="Arial"/>
                <w:sz w:val="24"/>
                <w:szCs w:val="24"/>
              </w:rPr>
            </w:pPr>
            <w:r w:rsidRPr="00AC552B">
              <w:rPr>
                <w:rFonts w:ascii="Arial" w:eastAsia="Arial" w:hAnsi="Arial" w:cs="Arial"/>
                <w:sz w:val="24"/>
                <w:szCs w:val="24"/>
              </w:rPr>
              <w:t>PRINCE2 and MSP methodologies or equivalent methodology</w:t>
            </w:r>
          </w:p>
        </w:tc>
      </w:tr>
    </w:tbl>
    <w:p w:rsidR="00D652A1" w:rsidRPr="00AC552B" w:rsidRDefault="00D652A1" w:rsidP="00D652A1">
      <w:pPr>
        <w:spacing w:before="120" w:after="120"/>
        <w:jc w:val="both"/>
        <w:rPr>
          <w:rFonts w:ascii="Arial" w:eastAsia="Arial" w:hAnsi="Arial" w:cs="Arial"/>
          <w:b/>
          <w:sz w:val="24"/>
          <w:szCs w:val="24"/>
        </w:rPr>
      </w:pPr>
      <w:r w:rsidRPr="00AC552B">
        <w:rPr>
          <w:rFonts w:ascii="Arial" w:eastAsia="Arial" w:hAnsi="Arial" w:cs="Arial"/>
          <w:b/>
          <w:sz w:val="24"/>
          <w:szCs w:val="24"/>
        </w:rPr>
        <w:t xml:space="preserve"> </w:t>
      </w:r>
    </w:p>
    <w:p w:rsidR="00D652A1" w:rsidRPr="00AC552B" w:rsidRDefault="00D652A1" w:rsidP="00D652A1">
      <w:pPr>
        <w:spacing w:before="120" w:after="120"/>
        <w:jc w:val="both"/>
        <w:rPr>
          <w:rFonts w:ascii="Arial" w:eastAsia="Arial" w:hAnsi="Arial" w:cs="Arial"/>
          <w:b/>
          <w:sz w:val="24"/>
          <w:szCs w:val="24"/>
        </w:rPr>
      </w:pPr>
      <w:r w:rsidRPr="00AC552B">
        <w:rPr>
          <w:rFonts w:ascii="Arial" w:eastAsia="Arial" w:hAnsi="Arial" w:cs="Arial"/>
          <w:b/>
          <w:sz w:val="24"/>
          <w:szCs w:val="24"/>
        </w:rPr>
        <w:t>The Supplier shall comply with the following business standards;</w:t>
      </w:r>
    </w:p>
    <w:p w:rsidR="00D652A1" w:rsidRPr="00AC552B" w:rsidRDefault="00D652A1" w:rsidP="00D652A1">
      <w:pPr>
        <w:spacing w:before="120" w:after="120"/>
        <w:ind w:left="1420"/>
        <w:jc w:val="both"/>
        <w:rPr>
          <w:rFonts w:ascii="Arial" w:eastAsia="Arial" w:hAnsi="Arial" w:cs="Arial"/>
          <w:b/>
          <w:sz w:val="24"/>
          <w:szCs w:val="24"/>
        </w:rPr>
      </w:pPr>
      <w:r w:rsidRPr="00AC552B">
        <w:rPr>
          <w:rFonts w:ascii="Arial" w:eastAsia="Arial" w:hAnsi="Arial" w:cs="Arial"/>
          <w:b/>
          <w:sz w:val="24"/>
          <w:szCs w:val="24"/>
        </w:rPr>
        <w:t xml:space="preserve">  </w:t>
      </w:r>
    </w:p>
    <w:tbl>
      <w:tblPr>
        <w:tblW w:w="9135" w:type="dxa"/>
        <w:tblBorders>
          <w:top w:val="nil"/>
          <w:left w:val="nil"/>
          <w:bottom w:val="nil"/>
          <w:right w:val="nil"/>
          <w:insideH w:val="nil"/>
          <w:insideV w:val="nil"/>
        </w:tblBorders>
        <w:tblLayout w:type="fixed"/>
        <w:tblLook w:val="0600" w:firstRow="0" w:lastRow="0" w:firstColumn="0" w:lastColumn="0" w:noHBand="1" w:noVBand="1"/>
      </w:tblPr>
      <w:tblGrid>
        <w:gridCol w:w="1275"/>
        <w:gridCol w:w="7860"/>
      </w:tblGrid>
      <w:tr w:rsidR="00D652A1" w:rsidRPr="00AC552B" w:rsidTr="00B1650F">
        <w:trPr>
          <w:trHeight w:val="735"/>
        </w:trPr>
        <w:tc>
          <w:tcPr>
            <w:tcW w:w="9135" w:type="dxa"/>
            <w:gridSpan w:val="2"/>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jc w:val="both"/>
              <w:rPr>
                <w:rFonts w:ascii="Arial" w:eastAsia="Arial" w:hAnsi="Arial" w:cs="Arial"/>
                <w:b/>
                <w:sz w:val="24"/>
                <w:szCs w:val="24"/>
              </w:rPr>
            </w:pPr>
            <w:r w:rsidRPr="00AC552B">
              <w:rPr>
                <w:rFonts w:ascii="Arial" w:eastAsia="Arial" w:hAnsi="Arial" w:cs="Arial"/>
                <w:b/>
                <w:sz w:val="24"/>
                <w:szCs w:val="24"/>
              </w:rPr>
              <w:t>(a)  eCommerce</w:t>
            </w:r>
          </w:p>
        </w:tc>
      </w:tr>
      <w:tr w:rsidR="00D652A1" w:rsidRPr="00AC552B" w:rsidTr="00B1650F">
        <w:trPr>
          <w:trHeight w:val="1230"/>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w:t>
            </w:r>
          </w:p>
        </w:tc>
        <w:tc>
          <w:tcPr>
            <w:tcW w:w="786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The Supplier shall enable ePayment Solutions and will adapt its own systems and processes, if necessary, to accommodate Buyer requirements.</w:t>
            </w:r>
          </w:p>
        </w:tc>
      </w:tr>
      <w:tr w:rsidR="00D652A1" w:rsidRPr="00AC552B" w:rsidTr="00B1650F">
        <w:trPr>
          <w:trHeight w:val="2820"/>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lastRenderedPageBreak/>
              <w:t>(ii)</w:t>
            </w:r>
          </w:p>
        </w:tc>
        <w:tc>
          <w:tcPr>
            <w:tcW w:w="786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The Supplier acknowledges and agrees that the Government wide strategy of ‘Digital by Default’</w:t>
            </w:r>
            <w:hyperlink r:id="rId18">
              <w:r w:rsidRPr="00AC552B">
                <w:rPr>
                  <w:rFonts w:ascii="Arial" w:eastAsia="Arial" w:hAnsi="Arial" w:cs="Arial"/>
                  <w:color w:val="1155CC"/>
                  <w:sz w:val="24"/>
                  <w:szCs w:val="24"/>
                </w:rPr>
                <w:t xml:space="preserve"> </w:t>
              </w:r>
            </w:hyperlink>
            <w:hyperlink r:id="rId19">
              <w:r w:rsidRPr="00AC552B">
                <w:rPr>
                  <w:rFonts w:ascii="Arial" w:eastAsia="Arial" w:hAnsi="Arial" w:cs="Arial"/>
                  <w:color w:val="1155CC"/>
                  <w:sz w:val="24"/>
                  <w:szCs w:val="24"/>
                  <w:u w:val="single"/>
                </w:rPr>
                <w:t>https://www.gov.uk/government/publications/government-digital-strategy</w:t>
              </w:r>
            </w:hyperlink>
            <w:r w:rsidRPr="00AC552B">
              <w:rPr>
                <w:rFonts w:ascii="Arial" w:eastAsia="Arial" w:hAnsi="Arial" w:cs="Arial"/>
                <w:sz w:val="24"/>
                <w:szCs w:val="24"/>
              </w:rPr>
              <w:t xml:space="preserve"> endorses a commitment to implement e-commerce systems including, for example, purchase-to-pay (P2P) automated systems, as the preferred transacting model for all Government purchasing transactions. The intent is to migrate, wherever practically possible, all Government purchasing to an e-commerce environment.</w:t>
            </w:r>
          </w:p>
        </w:tc>
      </w:tr>
      <w:tr w:rsidR="00D652A1" w:rsidRPr="00AC552B" w:rsidTr="00B1650F">
        <w:trPr>
          <w:trHeight w:val="2700"/>
        </w:trPr>
        <w:tc>
          <w:tcPr>
            <w:tcW w:w="1275"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240" w:after="240"/>
              <w:ind w:left="140"/>
              <w:jc w:val="both"/>
              <w:rPr>
                <w:rFonts w:ascii="Arial" w:eastAsia="Arial" w:hAnsi="Arial" w:cs="Arial"/>
                <w:sz w:val="24"/>
                <w:szCs w:val="24"/>
              </w:rPr>
            </w:pPr>
            <w:r w:rsidRPr="00AC552B">
              <w:rPr>
                <w:rFonts w:ascii="Arial" w:eastAsia="Arial" w:hAnsi="Arial" w:cs="Arial"/>
                <w:sz w:val="24"/>
                <w:szCs w:val="24"/>
              </w:rPr>
              <w:t>(iii)</w:t>
            </w:r>
          </w:p>
        </w:tc>
        <w:tc>
          <w:tcPr>
            <w:tcW w:w="7860" w:type="dxa"/>
            <w:tcBorders>
              <w:top w:val="single" w:sz="4" w:space="0" w:color="auto"/>
              <w:left w:val="single" w:sz="4" w:space="0" w:color="auto"/>
              <w:bottom w:val="single" w:sz="4" w:space="0" w:color="auto"/>
              <w:right w:val="single" w:sz="4" w:space="0" w:color="auto"/>
            </w:tcBorders>
            <w:shd w:val="clear" w:color="auto" w:fill="auto"/>
            <w:tcMar>
              <w:top w:w="100" w:type="dxa"/>
              <w:left w:w="100" w:type="dxa"/>
              <w:bottom w:w="100" w:type="dxa"/>
              <w:right w:w="100" w:type="dxa"/>
            </w:tcMar>
          </w:tcPr>
          <w:p w:rsidR="00D652A1" w:rsidRPr="00AC552B" w:rsidRDefault="00D652A1" w:rsidP="00B1650F">
            <w:pPr>
              <w:spacing w:before="120" w:after="120"/>
              <w:ind w:left="140"/>
              <w:jc w:val="both"/>
              <w:rPr>
                <w:rFonts w:ascii="Arial" w:eastAsia="Arial" w:hAnsi="Arial" w:cs="Arial"/>
                <w:sz w:val="24"/>
                <w:szCs w:val="24"/>
              </w:rPr>
            </w:pPr>
            <w:r w:rsidRPr="00AC552B">
              <w:rPr>
                <w:rFonts w:ascii="Arial" w:eastAsia="Arial" w:hAnsi="Arial" w:cs="Arial"/>
                <w:sz w:val="24"/>
                <w:szCs w:val="24"/>
              </w:rPr>
              <w:t>The Supplier acknowledges and agrees that when contracting with Central Government Bodies, the latter may use a specific e-commerce application and the Supplier shall be required to comply with the relevant requirements set out by the Central Government Body in their Statement of Requirements during the Further Competition Procedure and/or terms of the relevant Call-Off Contract.</w:t>
            </w:r>
          </w:p>
        </w:tc>
      </w:tr>
    </w:tbl>
    <w:p w:rsidR="00D652A1" w:rsidRPr="00AC552B" w:rsidRDefault="00D652A1" w:rsidP="00D652A1">
      <w:pPr>
        <w:spacing w:before="120" w:after="120"/>
        <w:jc w:val="both"/>
        <w:rPr>
          <w:rFonts w:ascii="Arial" w:eastAsia="Arial" w:hAnsi="Arial" w:cs="Arial"/>
          <w:b/>
          <w:sz w:val="24"/>
          <w:szCs w:val="24"/>
        </w:rPr>
      </w:pPr>
      <w:r w:rsidRPr="00AC552B">
        <w:rPr>
          <w:rFonts w:ascii="Arial" w:eastAsia="Arial" w:hAnsi="Arial" w:cs="Arial"/>
          <w:b/>
          <w:sz w:val="24"/>
          <w:szCs w:val="24"/>
        </w:rPr>
        <w:t xml:space="preserve"> </w:t>
      </w:r>
    </w:p>
    <w:p w:rsidR="00D652A1" w:rsidRPr="00AC552B" w:rsidRDefault="00D652A1" w:rsidP="00D652A1">
      <w:pPr>
        <w:pStyle w:val="Heading1"/>
        <w:rPr>
          <w:rFonts w:ascii="Arial" w:hAnsi="Arial" w:cs="Arial"/>
          <w:sz w:val="24"/>
          <w:szCs w:val="24"/>
        </w:rPr>
      </w:pPr>
      <w:bookmarkStart w:id="5" w:name="_heading=h.1fob9te" w:colFirst="0" w:colLast="0"/>
      <w:bookmarkEnd w:id="5"/>
      <w:r w:rsidRPr="00AC552B">
        <w:rPr>
          <w:rFonts w:ascii="Arial" w:hAnsi="Arial" w:cs="Arial"/>
          <w:sz w:val="24"/>
          <w:szCs w:val="24"/>
        </w:rPr>
        <w:t>4. Social Value</w:t>
      </w:r>
    </w:p>
    <w:p w:rsidR="00D652A1" w:rsidRPr="00AC552B" w:rsidRDefault="00D652A1" w:rsidP="00D652A1">
      <w:pPr>
        <w:pStyle w:val="Heading2"/>
        <w:jc w:val="both"/>
        <w:rPr>
          <w:rFonts w:ascii="Arial" w:eastAsia="Arial" w:hAnsi="Arial" w:cs="Arial"/>
          <w:color w:val="000000"/>
          <w:sz w:val="24"/>
          <w:szCs w:val="24"/>
        </w:rPr>
      </w:pPr>
    </w:p>
    <w:p w:rsidR="00D652A1" w:rsidRPr="00AC552B" w:rsidRDefault="00D652A1" w:rsidP="00D652A1">
      <w:pPr>
        <w:pStyle w:val="Heading2"/>
        <w:spacing w:after="200"/>
        <w:jc w:val="both"/>
        <w:rPr>
          <w:rFonts w:ascii="Arial" w:eastAsia="Arial" w:hAnsi="Arial" w:cs="Arial"/>
          <w:color w:val="000000"/>
          <w:sz w:val="24"/>
          <w:szCs w:val="24"/>
        </w:rPr>
      </w:pPr>
      <w:bookmarkStart w:id="6" w:name="_heading=h.b8ym09jnm2oh" w:colFirst="0" w:colLast="0"/>
      <w:bookmarkEnd w:id="6"/>
      <w:r w:rsidRPr="00AC552B">
        <w:rPr>
          <w:rFonts w:ascii="Arial" w:eastAsia="Arial" w:hAnsi="Arial" w:cs="Arial"/>
          <w:color w:val="000000"/>
          <w:sz w:val="24"/>
          <w:szCs w:val="24"/>
        </w:rPr>
        <w:t>4.1   Social Value legislation</w:t>
      </w:r>
      <w:r w:rsidRPr="00AC552B">
        <w:rPr>
          <w:rFonts w:ascii="Arial" w:eastAsia="Arial" w:hAnsi="Arial" w:cs="Arial"/>
          <w:color w:val="000000"/>
          <w:sz w:val="24"/>
          <w:szCs w:val="24"/>
          <w:vertAlign w:val="superscript"/>
        </w:rPr>
        <w:footnoteReference w:id="1"/>
      </w:r>
      <w:r w:rsidRPr="00AC552B">
        <w:rPr>
          <w:rFonts w:ascii="Arial" w:eastAsia="Arial" w:hAnsi="Arial" w:cs="Arial"/>
          <w:color w:val="000000"/>
          <w:sz w:val="24"/>
          <w:szCs w:val="24"/>
        </w:rPr>
        <w:t xml:space="preserve"> places a legal requirement on all public bodies to consider the additional social, economic and environmental benefits that can be realised for individuals and communities through commissioning and procurement activity, and, in Scotland, to deliver them. These benefits are over and above the core deliverables of Contracts. General information on The Social Value Act can be found at: </w:t>
      </w:r>
    </w:p>
    <w:bookmarkStart w:id="7" w:name="_heading=h.3znysh7" w:colFirst="0" w:colLast="0"/>
    <w:bookmarkEnd w:id="7"/>
    <w:p w:rsidR="00D652A1" w:rsidRPr="00AC552B" w:rsidRDefault="00D652A1" w:rsidP="002F7E5A">
      <w:pPr>
        <w:pStyle w:val="Heading2"/>
        <w:numPr>
          <w:ilvl w:val="0"/>
          <w:numId w:val="14"/>
        </w:numPr>
        <w:spacing w:after="200"/>
        <w:jc w:val="both"/>
        <w:rPr>
          <w:rFonts w:ascii="Arial" w:eastAsia="Arial" w:hAnsi="Arial" w:cs="Arial"/>
          <w:color w:val="000000"/>
          <w:sz w:val="24"/>
          <w:szCs w:val="24"/>
        </w:rPr>
      </w:pPr>
      <w:r w:rsidRPr="00AC552B">
        <w:rPr>
          <w:rFonts w:ascii="Arial" w:eastAsia="Arial" w:hAnsi="Arial" w:cs="Arial"/>
          <w:color w:val="1155CC"/>
          <w:sz w:val="24"/>
          <w:szCs w:val="24"/>
          <w:u w:val="single"/>
        </w:rPr>
        <w:fldChar w:fldCharType="begin"/>
      </w:r>
      <w:r w:rsidRPr="00AC552B">
        <w:rPr>
          <w:rFonts w:ascii="Arial" w:eastAsia="Arial" w:hAnsi="Arial" w:cs="Arial"/>
          <w:color w:val="1155CC"/>
          <w:sz w:val="24"/>
          <w:szCs w:val="24"/>
          <w:u w:val="single"/>
        </w:rPr>
        <w:instrText xml:space="preserve"> HYPERLINK "https://www.gov.uk/government/publications/social-value-act-introductory-guide" \h </w:instrText>
      </w:r>
      <w:r w:rsidRPr="00AC552B">
        <w:rPr>
          <w:rFonts w:ascii="Arial" w:eastAsia="Arial" w:hAnsi="Arial" w:cs="Arial"/>
          <w:color w:val="1155CC"/>
          <w:sz w:val="24"/>
          <w:szCs w:val="24"/>
          <w:u w:val="single"/>
        </w:rPr>
        <w:fldChar w:fldCharType="separate"/>
      </w:r>
      <w:r w:rsidRPr="00AC552B">
        <w:rPr>
          <w:rFonts w:ascii="Arial" w:eastAsia="Arial" w:hAnsi="Arial" w:cs="Arial"/>
          <w:color w:val="1155CC"/>
          <w:sz w:val="24"/>
          <w:szCs w:val="24"/>
          <w:u w:val="single"/>
        </w:rPr>
        <w:t>https://www.gov.uk/government/publications/social-value-act-introductory-guide</w:t>
      </w:r>
      <w:r w:rsidRPr="00AC552B">
        <w:rPr>
          <w:rFonts w:ascii="Arial" w:eastAsia="Arial" w:hAnsi="Arial" w:cs="Arial"/>
          <w:color w:val="1155CC"/>
          <w:sz w:val="24"/>
          <w:szCs w:val="24"/>
          <w:u w:val="single"/>
        </w:rPr>
        <w:fldChar w:fldCharType="end"/>
      </w:r>
    </w:p>
    <w:p w:rsidR="00D652A1" w:rsidRPr="00AC552B" w:rsidRDefault="00D652A1" w:rsidP="00D652A1">
      <w:pPr>
        <w:ind w:left="720"/>
        <w:rPr>
          <w:rFonts w:ascii="Arial" w:eastAsia="Arial" w:hAnsi="Arial" w:cs="Arial"/>
          <w:sz w:val="24"/>
          <w:szCs w:val="24"/>
        </w:rPr>
      </w:pPr>
      <w:r w:rsidRPr="00AC552B">
        <w:rPr>
          <w:rFonts w:ascii="Arial" w:eastAsia="Arial" w:hAnsi="Arial" w:cs="Arial"/>
          <w:sz w:val="24"/>
          <w:szCs w:val="24"/>
        </w:rPr>
        <w:t>Recently updated social value themes for public bodies can be found on this link:</w:t>
      </w:r>
    </w:p>
    <w:bookmarkStart w:id="8" w:name="_heading=h.2et92p0" w:colFirst="0" w:colLast="0"/>
    <w:bookmarkEnd w:id="8"/>
    <w:p w:rsidR="00D652A1" w:rsidRPr="00AC552B" w:rsidRDefault="00D652A1" w:rsidP="002F7E5A">
      <w:pPr>
        <w:pStyle w:val="Heading2"/>
        <w:numPr>
          <w:ilvl w:val="0"/>
          <w:numId w:val="14"/>
        </w:numPr>
        <w:spacing w:after="200"/>
        <w:jc w:val="both"/>
        <w:rPr>
          <w:rFonts w:ascii="Arial" w:eastAsia="Arial" w:hAnsi="Arial" w:cs="Arial"/>
          <w:color w:val="000000"/>
          <w:sz w:val="24"/>
          <w:szCs w:val="24"/>
        </w:rPr>
      </w:pPr>
      <w:r w:rsidRPr="00AC552B">
        <w:rPr>
          <w:rFonts w:ascii="Arial" w:eastAsia="Arial" w:hAnsi="Arial" w:cs="Arial"/>
          <w:color w:val="1155CC"/>
          <w:sz w:val="24"/>
          <w:szCs w:val="24"/>
          <w:u w:val="single"/>
        </w:rPr>
        <w:lastRenderedPageBreak/>
        <w:fldChar w:fldCharType="begin"/>
      </w:r>
      <w:r w:rsidRPr="00AC552B">
        <w:rPr>
          <w:rFonts w:ascii="Arial" w:eastAsia="Arial" w:hAnsi="Arial" w:cs="Arial"/>
          <w:color w:val="1155CC"/>
          <w:sz w:val="24"/>
          <w:szCs w:val="24"/>
          <w:u w:val="single"/>
        </w:rPr>
        <w:instrText xml:space="preserve"> HYPERLINK "https://www.gov.uk/government/publications/procurement-policy-note-0620-taking-account-of-social-value-in-the-award-of-central-government-contracts" \h </w:instrText>
      </w:r>
      <w:r w:rsidRPr="00AC552B">
        <w:rPr>
          <w:rFonts w:ascii="Arial" w:eastAsia="Arial" w:hAnsi="Arial" w:cs="Arial"/>
          <w:color w:val="1155CC"/>
          <w:sz w:val="24"/>
          <w:szCs w:val="24"/>
          <w:u w:val="single"/>
        </w:rPr>
        <w:fldChar w:fldCharType="separate"/>
      </w:r>
      <w:r w:rsidRPr="00AC552B">
        <w:rPr>
          <w:rFonts w:ascii="Arial" w:eastAsia="Arial" w:hAnsi="Arial" w:cs="Arial"/>
          <w:color w:val="1155CC"/>
          <w:sz w:val="24"/>
          <w:szCs w:val="24"/>
          <w:u w:val="single"/>
        </w:rPr>
        <w:t>https://www.gov.uk/government/publications/procurement-policy-note-0620-taking-account-of-social-value-in-the-award-of-central-government-contracts</w:t>
      </w:r>
      <w:r w:rsidRPr="00AC552B">
        <w:rPr>
          <w:rFonts w:ascii="Arial" w:eastAsia="Arial" w:hAnsi="Arial" w:cs="Arial"/>
          <w:color w:val="1155CC"/>
          <w:sz w:val="24"/>
          <w:szCs w:val="24"/>
          <w:u w:val="single"/>
        </w:rPr>
        <w:fldChar w:fldCharType="end"/>
      </w:r>
      <w:r w:rsidRPr="00AC552B">
        <w:rPr>
          <w:rFonts w:ascii="Arial" w:eastAsia="Arial" w:hAnsi="Arial" w:cs="Arial"/>
          <w:color w:val="000000"/>
          <w:sz w:val="24"/>
          <w:szCs w:val="24"/>
        </w:rPr>
        <w:t xml:space="preserve"> </w:t>
      </w:r>
    </w:p>
    <w:p w:rsidR="00D652A1" w:rsidRPr="00AC552B" w:rsidRDefault="00D652A1" w:rsidP="00D652A1">
      <w:pPr>
        <w:pStyle w:val="Heading2"/>
        <w:spacing w:after="200"/>
        <w:rPr>
          <w:rFonts w:ascii="Arial" w:eastAsia="Arial" w:hAnsi="Arial" w:cs="Arial"/>
          <w:color w:val="000000"/>
          <w:sz w:val="24"/>
          <w:szCs w:val="24"/>
        </w:rPr>
      </w:pPr>
      <w:bookmarkStart w:id="9" w:name="_heading=h.tyjcwt" w:colFirst="0" w:colLast="0"/>
      <w:bookmarkEnd w:id="9"/>
      <w:r w:rsidRPr="00AC552B">
        <w:rPr>
          <w:rFonts w:ascii="Arial" w:eastAsia="Arial" w:hAnsi="Arial" w:cs="Arial"/>
          <w:color w:val="000000"/>
          <w:sz w:val="24"/>
          <w:szCs w:val="24"/>
        </w:rPr>
        <w:t>4.2   These Social Value priorities are intrinsic to the Specification for this Framework Contract:</w:t>
      </w:r>
    </w:p>
    <w:p w:rsidR="00D652A1" w:rsidRPr="00AC552B" w:rsidRDefault="00D652A1" w:rsidP="00D652A1">
      <w:pPr>
        <w:spacing w:line="240" w:lineRule="auto"/>
        <w:ind w:left="566"/>
        <w:rPr>
          <w:rFonts w:ascii="Arial" w:eastAsia="Arial" w:hAnsi="Arial" w:cs="Arial"/>
          <w:sz w:val="24"/>
          <w:szCs w:val="24"/>
        </w:rPr>
      </w:pPr>
      <w:r w:rsidRPr="00AC552B">
        <w:rPr>
          <w:rFonts w:ascii="Arial" w:eastAsia="Arial" w:hAnsi="Arial" w:cs="Arial"/>
          <w:b/>
          <w:sz w:val="24"/>
          <w:szCs w:val="24"/>
          <w:highlight w:val="white"/>
        </w:rPr>
        <w:t>TACKLING ECONOMIC INEQUALITY</w:t>
      </w:r>
      <w:r w:rsidRPr="00AC552B">
        <w:rPr>
          <w:rFonts w:ascii="Arial" w:eastAsia="Arial" w:hAnsi="Arial" w:cs="Arial"/>
          <w:sz w:val="24"/>
          <w:szCs w:val="24"/>
        </w:rPr>
        <w:t xml:space="preserve"> – See Paragraph 4.2.1 below</w:t>
      </w:r>
    </w:p>
    <w:p w:rsidR="00D652A1" w:rsidRPr="00AC552B" w:rsidRDefault="00D652A1" w:rsidP="002F7E5A">
      <w:pPr>
        <w:numPr>
          <w:ilvl w:val="0"/>
          <w:numId w:val="5"/>
        </w:numPr>
        <w:spacing w:after="0" w:line="240" w:lineRule="auto"/>
        <w:ind w:left="1417"/>
        <w:rPr>
          <w:rFonts w:ascii="Arial" w:eastAsia="Arial" w:hAnsi="Arial" w:cs="Arial"/>
          <w:sz w:val="24"/>
          <w:szCs w:val="24"/>
        </w:rPr>
      </w:pPr>
      <w:r w:rsidRPr="00AC552B">
        <w:rPr>
          <w:rFonts w:ascii="Arial" w:eastAsia="Arial" w:hAnsi="Arial" w:cs="Arial"/>
          <w:b/>
          <w:sz w:val="24"/>
          <w:szCs w:val="24"/>
        </w:rPr>
        <w:t>Create new businesses, new jobs and new skills</w:t>
      </w:r>
      <w:r w:rsidRPr="00AC552B">
        <w:rPr>
          <w:rFonts w:ascii="Arial" w:eastAsia="Arial" w:hAnsi="Arial" w:cs="Arial"/>
          <w:sz w:val="24"/>
          <w:szCs w:val="24"/>
          <w:highlight w:val="white"/>
        </w:rPr>
        <w:t xml:space="preserve"> </w:t>
      </w:r>
      <w:r w:rsidRPr="00AC552B">
        <w:rPr>
          <w:rFonts w:ascii="Arial" w:eastAsia="Arial" w:hAnsi="Arial" w:cs="Arial"/>
          <w:sz w:val="24"/>
          <w:szCs w:val="24"/>
        </w:rPr>
        <w:t>– See Paragraph 4.2.1 (i) below</w:t>
      </w:r>
    </w:p>
    <w:p w:rsidR="00D652A1" w:rsidRPr="00AC552B" w:rsidRDefault="00D652A1" w:rsidP="002F7E5A">
      <w:pPr>
        <w:numPr>
          <w:ilvl w:val="0"/>
          <w:numId w:val="5"/>
        </w:numPr>
        <w:spacing w:after="0" w:line="240" w:lineRule="auto"/>
        <w:ind w:left="1417"/>
        <w:rPr>
          <w:rFonts w:ascii="Arial" w:eastAsia="Arial" w:hAnsi="Arial" w:cs="Arial"/>
          <w:sz w:val="24"/>
          <w:szCs w:val="24"/>
        </w:rPr>
      </w:pPr>
      <w:r w:rsidRPr="00AC552B">
        <w:rPr>
          <w:rFonts w:ascii="Arial" w:eastAsia="Arial" w:hAnsi="Arial" w:cs="Arial"/>
          <w:b/>
          <w:sz w:val="24"/>
          <w:szCs w:val="24"/>
          <w:highlight w:val="white"/>
        </w:rPr>
        <w:t xml:space="preserve">Increase supply chain resilience and capacity </w:t>
      </w:r>
      <w:r w:rsidRPr="00AC552B">
        <w:rPr>
          <w:rFonts w:ascii="Arial" w:eastAsia="Arial" w:hAnsi="Arial" w:cs="Arial"/>
          <w:sz w:val="24"/>
          <w:szCs w:val="24"/>
        </w:rPr>
        <w:t>–</w:t>
      </w:r>
      <w:r w:rsidRPr="00AC552B">
        <w:rPr>
          <w:rFonts w:ascii="Arial" w:eastAsia="Arial" w:hAnsi="Arial" w:cs="Arial"/>
          <w:b/>
          <w:sz w:val="24"/>
          <w:szCs w:val="24"/>
          <w:highlight w:val="white"/>
        </w:rPr>
        <w:t xml:space="preserve"> </w:t>
      </w:r>
      <w:r w:rsidRPr="00AC552B">
        <w:rPr>
          <w:rFonts w:ascii="Arial" w:eastAsia="Arial" w:hAnsi="Arial" w:cs="Arial"/>
          <w:sz w:val="24"/>
          <w:szCs w:val="24"/>
        </w:rPr>
        <w:t>See Paragraph 4.2.1 (ii) below</w:t>
      </w:r>
    </w:p>
    <w:p w:rsidR="00D652A1" w:rsidRPr="00AC552B" w:rsidRDefault="00D652A1" w:rsidP="002F7E5A">
      <w:pPr>
        <w:numPr>
          <w:ilvl w:val="1"/>
          <w:numId w:val="5"/>
        </w:numPr>
        <w:spacing w:after="0" w:line="240" w:lineRule="auto"/>
        <w:ind w:left="1417"/>
        <w:rPr>
          <w:rFonts w:ascii="Arial" w:eastAsia="Arial" w:hAnsi="Arial" w:cs="Arial"/>
          <w:sz w:val="24"/>
          <w:szCs w:val="24"/>
        </w:rPr>
      </w:pPr>
      <w:r w:rsidRPr="00AC552B">
        <w:rPr>
          <w:rFonts w:ascii="Arial" w:eastAsia="Arial" w:hAnsi="Arial" w:cs="Arial"/>
          <w:b/>
          <w:sz w:val="24"/>
          <w:szCs w:val="24"/>
        </w:rPr>
        <w:t>Cyber security risks</w:t>
      </w:r>
      <w:r w:rsidRPr="00AC552B">
        <w:rPr>
          <w:rFonts w:ascii="Arial" w:eastAsia="Arial" w:hAnsi="Arial" w:cs="Arial"/>
          <w:sz w:val="24"/>
          <w:szCs w:val="24"/>
        </w:rPr>
        <w:t xml:space="preserve"> – See Paragraph </w:t>
      </w:r>
      <w:r w:rsidRPr="00AC552B">
        <w:rPr>
          <w:rFonts w:ascii="Arial" w:eastAsia="Arial" w:hAnsi="Arial" w:cs="Arial"/>
          <w:sz w:val="24"/>
          <w:szCs w:val="24"/>
          <w:highlight w:val="white"/>
        </w:rPr>
        <w:t>4.2.1 (ii) (a) below</w:t>
      </w:r>
    </w:p>
    <w:p w:rsidR="00D652A1" w:rsidRPr="00AC552B" w:rsidRDefault="00D652A1" w:rsidP="00D652A1">
      <w:pPr>
        <w:spacing w:after="0" w:line="240" w:lineRule="auto"/>
        <w:ind w:left="2880"/>
        <w:rPr>
          <w:rFonts w:ascii="Arial" w:eastAsia="Arial" w:hAnsi="Arial" w:cs="Arial"/>
          <w:sz w:val="24"/>
          <w:szCs w:val="24"/>
        </w:rPr>
      </w:pPr>
    </w:p>
    <w:p w:rsidR="00D652A1" w:rsidRPr="00AC552B" w:rsidRDefault="00D652A1" w:rsidP="00D652A1">
      <w:pPr>
        <w:spacing w:line="240" w:lineRule="auto"/>
        <w:ind w:left="720" w:hanging="153"/>
        <w:rPr>
          <w:rFonts w:ascii="Arial" w:eastAsia="Arial" w:hAnsi="Arial" w:cs="Arial"/>
          <w:b/>
          <w:sz w:val="24"/>
          <w:szCs w:val="24"/>
        </w:rPr>
      </w:pPr>
      <w:r w:rsidRPr="00AC552B">
        <w:rPr>
          <w:rFonts w:ascii="Arial" w:eastAsia="Arial" w:hAnsi="Arial" w:cs="Arial"/>
          <w:b/>
          <w:sz w:val="24"/>
          <w:szCs w:val="24"/>
        </w:rPr>
        <w:t>EQUAL OPPORTUNITY</w:t>
      </w:r>
      <w:r w:rsidRPr="00AC552B">
        <w:rPr>
          <w:rFonts w:ascii="Arial" w:eastAsia="Arial" w:hAnsi="Arial" w:cs="Arial"/>
          <w:sz w:val="24"/>
          <w:szCs w:val="24"/>
        </w:rPr>
        <w:t xml:space="preserve"> – See Paragraph 4.2.2 below</w:t>
      </w:r>
    </w:p>
    <w:p w:rsidR="00D652A1" w:rsidRPr="00AC552B" w:rsidRDefault="00D652A1" w:rsidP="002F7E5A">
      <w:pPr>
        <w:numPr>
          <w:ilvl w:val="0"/>
          <w:numId w:val="5"/>
        </w:numPr>
        <w:spacing w:line="240" w:lineRule="auto"/>
        <w:ind w:left="1417"/>
        <w:rPr>
          <w:rFonts w:ascii="Arial" w:eastAsia="Arial" w:hAnsi="Arial" w:cs="Arial"/>
          <w:sz w:val="24"/>
          <w:szCs w:val="24"/>
        </w:rPr>
      </w:pPr>
      <w:r w:rsidRPr="00AC552B">
        <w:rPr>
          <w:rFonts w:ascii="Arial" w:eastAsia="Arial" w:hAnsi="Arial" w:cs="Arial"/>
          <w:sz w:val="24"/>
          <w:szCs w:val="24"/>
        </w:rPr>
        <w:t>Tackling workforce inequality reducing modern slavery risks –</w:t>
      </w:r>
      <w:r w:rsidRPr="00AC552B">
        <w:rPr>
          <w:rFonts w:ascii="Arial" w:eastAsia="Arial" w:hAnsi="Arial" w:cs="Arial"/>
          <w:b/>
          <w:sz w:val="24"/>
          <w:szCs w:val="24"/>
          <w:highlight w:val="white"/>
        </w:rPr>
        <w:t xml:space="preserve"> </w:t>
      </w:r>
      <w:r w:rsidRPr="00AC552B">
        <w:rPr>
          <w:rFonts w:ascii="Arial" w:eastAsia="Arial" w:hAnsi="Arial" w:cs="Arial"/>
          <w:sz w:val="24"/>
          <w:szCs w:val="24"/>
        </w:rPr>
        <w:t>See Paragraph 4.2.2 (i) below</w:t>
      </w:r>
    </w:p>
    <w:p w:rsidR="00D652A1" w:rsidRPr="00AC552B" w:rsidRDefault="00D652A1" w:rsidP="00D652A1">
      <w:pPr>
        <w:spacing w:line="240" w:lineRule="auto"/>
        <w:ind w:left="720" w:hanging="153"/>
        <w:rPr>
          <w:rFonts w:ascii="Arial" w:eastAsia="Arial" w:hAnsi="Arial" w:cs="Arial"/>
          <w:sz w:val="24"/>
          <w:szCs w:val="24"/>
        </w:rPr>
      </w:pPr>
      <w:r w:rsidRPr="00AC552B">
        <w:rPr>
          <w:rFonts w:ascii="Arial" w:eastAsia="Arial" w:hAnsi="Arial" w:cs="Arial"/>
          <w:b/>
          <w:sz w:val="24"/>
          <w:szCs w:val="24"/>
        </w:rPr>
        <w:t xml:space="preserve">FIGHTING CLIMATE CHANGE </w:t>
      </w:r>
      <w:r w:rsidRPr="00AC552B">
        <w:rPr>
          <w:rFonts w:ascii="Arial" w:eastAsia="Arial" w:hAnsi="Arial" w:cs="Arial"/>
          <w:sz w:val="24"/>
          <w:szCs w:val="24"/>
        </w:rPr>
        <w:t>– See Paragraph 4.2.3 below</w:t>
      </w:r>
    </w:p>
    <w:p w:rsidR="00D652A1" w:rsidRPr="00AC552B" w:rsidRDefault="00D652A1" w:rsidP="002F7E5A">
      <w:pPr>
        <w:numPr>
          <w:ilvl w:val="0"/>
          <w:numId w:val="5"/>
        </w:numPr>
        <w:spacing w:after="160" w:line="259" w:lineRule="auto"/>
        <w:ind w:left="1417"/>
        <w:rPr>
          <w:rFonts w:ascii="Arial" w:eastAsia="Arial" w:hAnsi="Arial" w:cs="Arial"/>
          <w:sz w:val="24"/>
          <w:szCs w:val="24"/>
        </w:rPr>
      </w:pPr>
      <w:r w:rsidRPr="00AC552B">
        <w:rPr>
          <w:rFonts w:ascii="Arial" w:eastAsia="Arial" w:hAnsi="Arial" w:cs="Arial"/>
          <w:b/>
          <w:sz w:val="24"/>
          <w:szCs w:val="24"/>
        </w:rPr>
        <w:t>Effective Stewardship of the Environment</w:t>
      </w:r>
      <w:r w:rsidRPr="00AC552B">
        <w:rPr>
          <w:rFonts w:ascii="Arial" w:eastAsia="Arial" w:hAnsi="Arial" w:cs="Arial"/>
          <w:sz w:val="24"/>
          <w:szCs w:val="24"/>
        </w:rPr>
        <w:t xml:space="preserve"> – See Paragraph 4.2.3 (i) below</w:t>
      </w:r>
    </w:p>
    <w:p w:rsidR="00D652A1" w:rsidRPr="00AC552B" w:rsidRDefault="00D652A1" w:rsidP="00D652A1">
      <w:pPr>
        <w:spacing w:line="240" w:lineRule="auto"/>
        <w:ind w:left="720" w:hanging="153"/>
        <w:rPr>
          <w:rFonts w:ascii="Arial" w:eastAsia="Arial" w:hAnsi="Arial" w:cs="Arial"/>
          <w:sz w:val="24"/>
          <w:szCs w:val="24"/>
          <w:highlight w:val="white"/>
        </w:rPr>
      </w:pPr>
      <w:r w:rsidRPr="00AC552B">
        <w:rPr>
          <w:rFonts w:ascii="Arial" w:eastAsia="Arial" w:hAnsi="Arial" w:cs="Arial"/>
          <w:b/>
          <w:sz w:val="24"/>
          <w:szCs w:val="24"/>
        </w:rPr>
        <w:t xml:space="preserve">WELLBEING </w:t>
      </w:r>
      <w:r w:rsidRPr="00AC552B">
        <w:rPr>
          <w:rFonts w:ascii="Arial" w:eastAsia="Arial" w:hAnsi="Arial" w:cs="Arial"/>
          <w:sz w:val="24"/>
          <w:szCs w:val="24"/>
        </w:rPr>
        <w:t>– See Paragraph 4.2.4 below</w:t>
      </w:r>
    </w:p>
    <w:p w:rsidR="00D652A1" w:rsidRPr="00AC552B" w:rsidRDefault="00D652A1" w:rsidP="00D652A1">
      <w:pPr>
        <w:spacing w:line="240" w:lineRule="auto"/>
        <w:ind w:left="720" w:hanging="153"/>
        <w:rPr>
          <w:rFonts w:ascii="Arial" w:eastAsia="Arial" w:hAnsi="Arial" w:cs="Arial"/>
          <w:b/>
          <w:sz w:val="24"/>
          <w:szCs w:val="24"/>
        </w:rPr>
      </w:pPr>
      <w:r w:rsidRPr="00AC552B">
        <w:rPr>
          <w:rFonts w:ascii="Arial" w:eastAsia="Arial" w:hAnsi="Arial" w:cs="Arial"/>
          <w:b/>
          <w:sz w:val="24"/>
          <w:szCs w:val="24"/>
        </w:rPr>
        <w:t>COVID-19 RECOVERY</w:t>
      </w:r>
      <w:r w:rsidRPr="00AC552B">
        <w:rPr>
          <w:rFonts w:ascii="Arial" w:eastAsia="Arial" w:hAnsi="Arial" w:cs="Arial"/>
          <w:sz w:val="24"/>
          <w:szCs w:val="24"/>
        </w:rPr>
        <w:t xml:space="preserve"> – See Paragraph 4.2.5 below</w:t>
      </w:r>
    </w:p>
    <w:p w:rsidR="00D652A1" w:rsidRPr="00AC552B" w:rsidRDefault="00D652A1" w:rsidP="00D652A1">
      <w:pPr>
        <w:shd w:val="clear" w:color="auto" w:fill="FFFFFF"/>
        <w:spacing w:after="0" w:line="240" w:lineRule="auto"/>
        <w:ind w:left="1417"/>
        <w:rPr>
          <w:rFonts w:ascii="Arial" w:eastAsia="Arial" w:hAnsi="Arial" w:cs="Arial"/>
          <w:sz w:val="24"/>
          <w:szCs w:val="24"/>
        </w:rPr>
      </w:pPr>
      <w:r w:rsidRPr="00AC552B">
        <w:rPr>
          <w:rFonts w:ascii="Arial" w:eastAsia="Arial" w:hAnsi="Arial" w:cs="Arial"/>
          <w:sz w:val="24"/>
          <w:szCs w:val="24"/>
        </w:rPr>
        <w:t xml:space="preserve">Buyers may identify further specific Social Value priorities based on the updated social value themes during a Call-Off Procedure. </w:t>
      </w:r>
    </w:p>
    <w:p w:rsidR="00D652A1" w:rsidRPr="00AC552B" w:rsidRDefault="00D652A1" w:rsidP="00D652A1">
      <w:pPr>
        <w:spacing w:after="0" w:line="240" w:lineRule="auto"/>
        <w:rPr>
          <w:rFonts w:ascii="Arial" w:eastAsia="Arial" w:hAnsi="Arial" w:cs="Arial"/>
          <w:b/>
          <w:sz w:val="24"/>
          <w:szCs w:val="24"/>
          <w:highlight w:val="white"/>
        </w:rPr>
      </w:pPr>
    </w:p>
    <w:p w:rsidR="00D652A1" w:rsidRPr="00AC552B" w:rsidRDefault="00D652A1" w:rsidP="00D652A1">
      <w:pPr>
        <w:spacing w:after="0" w:line="240" w:lineRule="auto"/>
        <w:ind w:left="720" w:hanging="720"/>
        <w:rPr>
          <w:rFonts w:ascii="Arial" w:eastAsia="Arial" w:hAnsi="Arial" w:cs="Arial"/>
          <w:b/>
          <w:sz w:val="24"/>
          <w:szCs w:val="24"/>
          <w:highlight w:val="white"/>
        </w:rPr>
      </w:pPr>
      <w:r w:rsidRPr="00AC552B">
        <w:rPr>
          <w:rFonts w:ascii="Arial" w:eastAsia="Arial" w:hAnsi="Arial" w:cs="Arial"/>
          <w:b/>
          <w:sz w:val="24"/>
          <w:szCs w:val="24"/>
          <w:highlight w:val="white"/>
        </w:rPr>
        <w:t>4.2.1 TACKLING ECONOMIC INEQUALITY</w:t>
      </w:r>
    </w:p>
    <w:p w:rsidR="00D652A1" w:rsidRPr="00AC552B" w:rsidRDefault="00D652A1" w:rsidP="00D652A1">
      <w:pPr>
        <w:shd w:val="clear" w:color="auto" w:fill="FFFFFF"/>
        <w:spacing w:after="0" w:line="240" w:lineRule="auto"/>
        <w:jc w:val="both"/>
        <w:rPr>
          <w:rFonts w:ascii="Arial" w:eastAsia="Arial" w:hAnsi="Arial" w:cs="Arial"/>
          <w:sz w:val="24"/>
          <w:szCs w:val="24"/>
          <w:highlight w:val="white"/>
        </w:rPr>
      </w:pPr>
    </w:p>
    <w:p w:rsidR="00D652A1" w:rsidRPr="00AC552B" w:rsidRDefault="00D652A1" w:rsidP="00D652A1">
      <w:pPr>
        <w:shd w:val="clear" w:color="auto" w:fill="FFFFFF"/>
        <w:spacing w:after="0" w:line="240" w:lineRule="auto"/>
        <w:ind w:left="720" w:hanging="720"/>
        <w:rPr>
          <w:rFonts w:ascii="Arial" w:eastAsia="Arial" w:hAnsi="Arial" w:cs="Arial"/>
          <w:b/>
          <w:sz w:val="24"/>
          <w:szCs w:val="24"/>
        </w:rPr>
      </w:pPr>
      <w:r w:rsidRPr="00AC552B">
        <w:rPr>
          <w:rFonts w:ascii="Arial" w:eastAsia="Arial" w:hAnsi="Arial" w:cs="Arial"/>
          <w:b/>
          <w:sz w:val="24"/>
          <w:szCs w:val="24"/>
        </w:rPr>
        <w:t>4.2.1 (i) Create new businesses, new jobs and new skills</w:t>
      </w:r>
    </w:p>
    <w:p w:rsidR="00D652A1" w:rsidRPr="00AC552B" w:rsidRDefault="00D652A1" w:rsidP="00D652A1">
      <w:pPr>
        <w:shd w:val="clear" w:color="auto" w:fill="FFFFFF"/>
        <w:spacing w:after="0" w:line="240" w:lineRule="auto"/>
        <w:rPr>
          <w:rFonts w:ascii="Arial" w:eastAsia="Arial" w:hAnsi="Arial" w:cs="Arial"/>
          <w:b/>
          <w:sz w:val="24"/>
          <w:szCs w:val="24"/>
          <w:highlight w:val="white"/>
        </w:rPr>
      </w:pPr>
    </w:p>
    <w:p w:rsidR="00D652A1" w:rsidRPr="00AC552B" w:rsidRDefault="00D652A1" w:rsidP="00D652A1">
      <w:pPr>
        <w:tabs>
          <w:tab w:val="left" w:pos="1560"/>
        </w:tabs>
        <w:spacing w:after="0" w:line="240" w:lineRule="auto"/>
        <w:ind w:left="1440"/>
        <w:jc w:val="both"/>
        <w:rPr>
          <w:rFonts w:ascii="Arial" w:eastAsia="Arial" w:hAnsi="Arial" w:cs="Arial"/>
          <w:sz w:val="24"/>
          <w:szCs w:val="24"/>
        </w:rPr>
      </w:pPr>
      <w:r w:rsidRPr="00AC552B">
        <w:rPr>
          <w:rFonts w:ascii="Arial" w:eastAsia="Arial" w:hAnsi="Arial" w:cs="Arial"/>
          <w:sz w:val="24"/>
          <w:szCs w:val="24"/>
          <w:highlight w:val="white"/>
        </w:rPr>
        <w:t xml:space="preserve">CCS and Buyer(s) </w:t>
      </w:r>
      <w:r w:rsidRPr="00AC552B">
        <w:rPr>
          <w:rFonts w:ascii="Arial" w:eastAsia="Arial" w:hAnsi="Arial" w:cs="Arial"/>
          <w:sz w:val="24"/>
          <w:szCs w:val="24"/>
        </w:rPr>
        <w:t xml:space="preserve">consider the delivery of high quality public services to be critically dependent on a workforce that is inclusive, well-motivated, well-led and has appropriate opportunities for training and skills development. </w:t>
      </w:r>
    </w:p>
    <w:p w:rsidR="00D652A1" w:rsidRPr="00AC552B" w:rsidRDefault="00D652A1" w:rsidP="00D652A1">
      <w:pPr>
        <w:tabs>
          <w:tab w:val="left" w:pos="1560"/>
        </w:tabs>
        <w:spacing w:after="0" w:line="240" w:lineRule="auto"/>
        <w:ind w:left="720"/>
        <w:jc w:val="both"/>
        <w:rPr>
          <w:rFonts w:ascii="Arial" w:eastAsia="Arial" w:hAnsi="Arial" w:cs="Arial"/>
          <w:sz w:val="24"/>
          <w:szCs w:val="24"/>
        </w:rPr>
      </w:pPr>
    </w:p>
    <w:p w:rsidR="00D652A1" w:rsidRPr="00AC552B" w:rsidRDefault="00D652A1" w:rsidP="00D652A1">
      <w:pPr>
        <w:tabs>
          <w:tab w:val="left" w:pos="1560"/>
        </w:tabs>
        <w:spacing w:after="0" w:line="240" w:lineRule="auto"/>
        <w:ind w:left="1440"/>
        <w:jc w:val="both"/>
        <w:rPr>
          <w:rFonts w:ascii="Arial" w:eastAsia="Arial" w:hAnsi="Arial" w:cs="Arial"/>
          <w:sz w:val="24"/>
          <w:szCs w:val="24"/>
        </w:rPr>
      </w:pPr>
      <w:r w:rsidRPr="00AC552B">
        <w:rPr>
          <w:rFonts w:ascii="Arial" w:eastAsia="Arial" w:hAnsi="Arial" w:cs="Arial"/>
          <w:sz w:val="24"/>
          <w:szCs w:val="24"/>
        </w:rPr>
        <w:t>All organisations with 250 or more employees must publish and report specific figures about their gender pay gap, and we expect Suppliers to progress towards equalising this.</w:t>
      </w:r>
    </w:p>
    <w:p w:rsidR="00D652A1" w:rsidRPr="00AC552B" w:rsidRDefault="00D652A1" w:rsidP="00D652A1">
      <w:pPr>
        <w:tabs>
          <w:tab w:val="left" w:pos="1560"/>
        </w:tabs>
        <w:spacing w:after="0" w:line="240" w:lineRule="auto"/>
        <w:ind w:left="1440"/>
        <w:jc w:val="both"/>
        <w:rPr>
          <w:rFonts w:ascii="Arial" w:eastAsia="Arial" w:hAnsi="Arial" w:cs="Arial"/>
          <w:sz w:val="24"/>
          <w:szCs w:val="24"/>
        </w:rPr>
      </w:pP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t xml:space="preserve">CCS expects our Suppliers and Supplier Supply Chains to support and encourage employment and skills development opportunities through the performance of this Framework Agreement, with a specific focus on opportunities for priority groups, including (but not limited to): </w:t>
      </w:r>
    </w:p>
    <w:p w:rsidR="00D652A1" w:rsidRPr="00AC552B" w:rsidRDefault="00D652A1" w:rsidP="002F7E5A">
      <w:pPr>
        <w:numPr>
          <w:ilvl w:val="0"/>
          <w:numId w:val="1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people with disabilities;</w:t>
      </w:r>
    </w:p>
    <w:p w:rsidR="00D652A1" w:rsidRPr="00AC552B" w:rsidRDefault="00D652A1" w:rsidP="002F7E5A">
      <w:pPr>
        <w:numPr>
          <w:ilvl w:val="0"/>
          <w:numId w:val="1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Ex-offenders;</w:t>
      </w:r>
    </w:p>
    <w:p w:rsidR="00D652A1" w:rsidRPr="00AC552B" w:rsidRDefault="00D652A1" w:rsidP="002F7E5A">
      <w:pPr>
        <w:numPr>
          <w:ilvl w:val="0"/>
          <w:numId w:val="1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BAME;</w:t>
      </w:r>
    </w:p>
    <w:p w:rsidR="00D652A1" w:rsidRPr="00AC552B" w:rsidRDefault="00D652A1" w:rsidP="002F7E5A">
      <w:pPr>
        <w:numPr>
          <w:ilvl w:val="0"/>
          <w:numId w:val="16"/>
        </w:numPr>
        <w:spacing w:after="0" w:line="240" w:lineRule="auto"/>
        <w:ind w:left="2160"/>
        <w:jc w:val="both"/>
        <w:rPr>
          <w:rFonts w:ascii="Arial" w:eastAsia="Arial" w:hAnsi="Arial" w:cs="Arial"/>
          <w:sz w:val="24"/>
          <w:szCs w:val="24"/>
        </w:rPr>
      </w:pPr>
      <w:bookmarkStart w:id="10" w:name="_heading=h.3dy6vkm" w:colFirst="0" w:colLast="0"/>
      <w:bookmarkEnd w:id="10"/>
      <w:r w:rsidRPr="00AC552B">
        <w:rPr>
          <w:rFonts w:ascii="Arial" w:eastAsia="Arial" w:hAnsi="Arial" w:cs="Arial"/>
          <w:sz w:val="24"/>
          <w:szCs w:val="24"/>
        </w:rPr>
        <w:lastRenderedPageBreak/>
        <w:t>long-term unemployed.</w:t>
      </w:r>
    </w:p>
    <w:p w:rsidR="00D652A1" w:rsidRPr="00AC552B" w:rsidRDefault="00D652A1" w:rsidP="00D652A1">
      <w:pPr>
        <w:spacing w:after="0" w:line="240" w:lineRule="auto"/>
        <w:ind w:left="1440"/>
        <w:jc w:val="both"/>
        <w:rPr>
          <w:rFonts w:ascii="Arial" w:eastAsia="Arial" w:hAnsi="Arial" w:cs="Arial"/>
          <w:sz w:val="24"/>
          <w:szCs w:val="24"/>
        </w:rPr>
      </w:pP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t>This support may be through various activities. For example:</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Apprenticeship and work experience placements;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Part-time and full-time employment and flexible working opportunities;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Providing stable employment and hours of work, and avoiding exploitative employment practices including, for example, no inappropriate use of zero hour contracts or other forms of demand driven contracts;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Supporting individuals to fulfil their potential with further education, employment or training e.g. coaching, mentoring, CV and interview skills;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Providing funded training and professional development opportunities for existing employees;</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Providing funded training opportunities (for individuals not employed by Supplier);</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Fair and equal pay policy;</w:t>
      </w:r>
    </w:p>
    <w:p w:rsidR="00D652A1" w:rsidRPr="00AC552B" w:rsidRDefault="00D652A1" w:rsidP="002F7E5A">
      <w:pPr>
        <w:numPr>
          <w:ilvl w:val="0"/>
          <w:numId w:val="26"/>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Offering a range of employee assistance schemes;</w:t>
      </w:r>
    </w:p>
    <w:p w:rsidR="00D652A1" w:rsidRPr="00AC552B" w:rsidRDefault="00D652A1" w:rsidP="002F7E5A">
      <w:pPr>
        <w:numPr>
          <w:ilvl w:val="0"/>
          <w:numId w:val="26"/>
        </w:numPr>
        <w:spacing w:after="0" w:line="240" w:lineRule="auto"/>
        <w:ind w:left="2160"/>
        <w:rPr>
          <w:rFonts w:ascii="Arial" w:eastAsia="Arial" w:hAnsi="Arial" w:cs="Arial"/>
          <w:sz w:val="24"/>
          <w:szCs w:val="24"/>
        </w:rPr>
      </w:pPr>
      <w:r w:rsidRPr="00AC552B">
        <w:rPr>
          <w:rFonts w:ascii="Arial" w:eastAsia="Arial" w:hAnsi="Arial" w:cs="Arial"/>
          <w:sz w:val="24"/>
          <w:szCs w:val="24"/>
        </w:rPr>
        <w:t>Supporting individuals and/or groups affected by the COVID-19 pandemic.</w:t>
      </w:r>
    </w:p>
    <w:p w:rsidR="00D652A1" w:rsidRPr="00AC552B" w:rsidRDefault="00D652A1" w:rsidP="00D652A1">
      <w:pPr>
        <w:spacing w:after="0" w:line="240" w:lineRule="auto"/>
        <w:ind w:left="1440"/>
        <w:jc w:val="both"/>
        <w:rPr>
          <w:rFonts w:ascii="Arial" w:eastAsia="Arial" w:hAnsi="Arial" w:cs="Arial"/>
          <w:sz w:val="24"/>
          <w:szCs w:val="24"/>
        </w:rPr>
      </w:pP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t>Buyers may test Suppliers’ proposed methods for delivering skills development within the local community and monitor performance as relevant to their specific requirements as part of the Call-Off Procedure.</w:t>
      </w:r>
    </w:p>
    <w:p w:rsidR="00D652A1" w:rsidRPr="00AC552B" w:rsidRDefault="00D652A1" w:rsidP="00D652A1">
      <w:pPr>
        <w:spacing w:after="0" w:line="240" w:lineRule="auto"/>
        <w:ind w:left="720"/>
        <w:jc w:val="both"/>
        <w:rPr>
          <w:rFonts w:ascii="Arial" w:eastAsia="Arial" w:hAnsi="Arial" w:cs="Arial"/>
          <w:sz w:val="24"/>
          <w:szCs w:val="24"/>
        </w:rPr>
      </w:pPr>
    </w:p>
    <w:p w:rsidR="00D652A1" w:rsidRPr="00AC552B" w:rsidRDefault="00D652A1" w:rsidP="00D652A1">
      <w:pPr>
        <w:spacing w:after="0" w:line="240" w:lineRule="auto"/>
        <w:rPr>
          <w:rFonts w:ascii="Arial" w:eastAsia="Arial" w:hAnsi="Arial" w:cs="Arial"/>
          <w:b/>
          <w:sz w:val="24"/>
          <w:szCs w:val="24"/>
          <w:highlight w:val="white"/>
        </w:rPr>
      </w:pPr>
      <w:r w:rsidRPr="00AC552B">
        <w:rPr>
          <w:rFonts w:ascii="Arial" w:eastAsia="Arial" w:hAnsi="Arial" w:cs="Arial"/>
          <w:b/>
          <w:sz w:val="24"/>
          <w:szCs w:val="24"/>
          <w:highlight w:val="white"/>
        </w:rPr>
        <w:t>4.2.1 (ii) Increase supply chain resilience and capacity</w:t>
      </w:r>
    </w:p>
    <w:p w:rsidR="00D652A1" w:rsidRPr="00AC552B" w:rsidRDefault="00D652A1" w:rsidP="00D652A1">
      <w:pPr>
        <w:spacing w:after="0" w:line="240" w:lineRule="auto"/>
        <w:ind w:left="720"/>
        <w:rPr>
          <w:rFonts w:ascii="Arial" w:eastAsia="Arial" w:hAnsi="Arial" w:cs="Arial"/>
          <w:b/>
          <w:sz w:val="24"/>
          <w:szCs w:val="24"/>
          <w:highlight w:val="white"/>
        </w:rPr>
      </w:pPr>
    </w:p>
    <w:p w:rsidR="00D652A1" w:rsidRPr="00AC552B" w:rsidRDefault="00D652A1" w:rsidP="00D652A1">
      <w:pPr>
        <w:shd w:val="clear" w:color="auto" w:fill="FFFFFF"/>
        <w:spacing w:after="0" w:line="240" w:lineRule="auto"/>
        <w:ind w:left="1440"/>
        <w:jc w:val="both"/>
        <w:rPr>
          <w:rFonts w:ascii="Arial" w:eastAsia="Arial" w:hAnsi="Arial" w:cs="Arial"/>
          <w:sz w:val="24"/>
          <w:szCs w:val="24"/>
          <w:highlight w:val="white"/>
        </w:rPr>
      </w:pPr>
      <w:r w:rsidRPr="00AC552B">
        <w:rPr>
          <w:rFonts w:ascii="Arial" w:eastAsia="Arial" w:hAnsi="Arial" w:cs="Arial"/>
          <w:sz w:val="24"/>
          <w:szCs w:val="24"/>
          <w:highlight w:val="white"/>
        </w:rPr>
        <w:t xml:space="preserve">CCS and Buyer(s) want to ensure a diverse base of Suppliers and resilient supply chains. We require the Supplier the support to deliver this through activities such as: </w:t>
      </w:r>
    </w:p>
    <w:p w:rsidR="00D652A1" w:rsidRPr="00AC552B" w:rsidRDefault="00D652A1" w:rsidP="002F7E5A">
      <w:pPr>
        <w:numPr>
          <w:ilvl w:val="0"/>
          <w:numId w:val="9"/>
        </w:numPr>
        <w:shd w:val="clear" w:color="auto" w:fill="FFFFFF"/>
        <w:spacing w:after="0" w:line="240" w:lineRule="auto"/>
        <w:ind w:left="1800"/>
        <w:jc w:val="both"/>
        <w:rPr>
          <w:rFonts w:ascii="Arial" w:eastAsia="Arial" w:hAnsi="Arial" w:cs="Arial"/>
          <w:sz w:val="24"/>
          <w:szCs w:val="24"/>
          <w:highlight w:val="white"/>
        </w:rPr>
      </w:pPr>
      <w:r w:rsidRPr="00AC552B">
        <w:rPr>
          <w:rFonts w:ascii="Arial" w:eastAsia="Arial" w:hAnsi="Arial" w:cs="Arial"/>
          <w:sz w:val="24"/>
          <w:szCs w:val="24"/>
          <w:highlight w:val="white"/>
        </w:rPr>
        <w:t>Enabling Accessibility through promotion of supply chain opportunities with SMEs &amp; Social Enterprises. We expect our Suppliers to support and build supply chain diversity through:</w:t>
      </w:r>
    </w:p>
    <w:p w:rsidR="00D652A1" w:rsidRPr="00AC552B" w:rsidRDefault="00D652A1" w:rsidP="002F7E5A">
      <w:pPr>
        <w:numPr>
          <w:ilvl w:val="0"/>
          <w:numId w:val="15"/>
        </w:numPr>
        <w:shd w:val="clear" w:color="auto" w:fill="FFFFFF"/>
        <w:spacing w:after="0" w:line="240" w:lineRule="auto"/>
        <w:ind w:left="2880"/>
        <w:jc w:val="both"/>
        <w:rPr>
          <w:rFonts w:ascii="Arial" w:eastAsia="Arial" w:hAnsi="Arial" w:cs="Arial"/>
          <w:sz w:val="24"/>
          <w:szCs w:val="24"/>
          <w:highlight w:val="white"/>
        </w:rPr>
      </w:pPr>
      <w:r w:rsidRPr="00AC552B">
        <w:rPr>
          <w:rFonts w:ascii="Arial" w:eastAsia="Arial" w:hAnsi="Arial" w:cs="Arial"/>
          <w:sz w:val="24"/>
          <w:szCs w:val="24"/>
          <w:highlight w:val="white"/>
        </w:rPr>
        <w:t>Supply chain processes that enable the participation of Micro, Small to Medium Sized Enterprises (SMEs) and Social Enterprises (SEs)</w:t>
      </w:r>
    </w:p>
    <w:p w:rsidR="00D652A1" w:rsidRPr="00AC552B" w:rsidRDefault="00D652A1" w:rsidP="002F7E5A">
      <w:pPr>
        <w:numPr>
          <w:ilvl w:val="0"/>
          <w:numId w:val="15"/>
        </w:numPr>
        <w:shd w:val="clear" w:color="auto" w:fill="FFFFFF"/>
        <w:spacing w:after="0" w:line="240" w:lineRule="auto"/>
        <w:ind w:left="2880"/>
        <w:jc w:val="both"/>
        <w:rPr>
          <w:rFonts w:ascii="Arial" w:eastAsia="Arial" w:hAnsi="Arial" w:cs="Arial"/>
          <w:sz w:val="24"/>
          <w:szCs w:val="24"/>
          <w:highlight w:val="white"/>
        </w:rPr>
      </w:pPr>
      <w:r w:rsidRPr="00AC552B">
        <w:rPr>
          <w:rFonts w:ascii="Arial" w:eastAsia="Arial" w:hAnsi="Arial" w:cs="Arial"/>
          <w:sz w:val="24"/>
          <w:szCs w:val="24"/>
          <w:highlight w:val="white"/>
        </w:rPr>
        <w:t>Subcontracting opportunities are open to Small to Medium Sized Enterprises (SMEs) and Social Enterprises (SEs), including the advertisement of all subcontracting opportunities over £10,000 on Contracts Finder as per Joint Schedule 12, Supply Chain Visibility</w:t>
      </w:r>
    </w:p>
    <w:p w:rsidR="00D652A1" w:rsidRPr="00AC552B" w:rsidRDefault="00D652A1" w:rsidP="002F7E5A">
      <w:pPr>
        <w:numPr>
          <w:ilvl w:val="0"/>
          <w:numId w:val="15"/>
        </w:numPr>
        <w:shd w:val="clear" w:color="auto" w:fill="FFFFFF"/>
        <w:spacing w:after="0" w:line="240" w:lineRule="auto"/>
        <w:ind w:left="2880"/>
        <w:jc w:val="both"/>
        <w:rPr>
          <w:rFonts w:ascii="Arial" w:eastAsia="Arial" w:hAnsi="Arial" w:cs="Arial"/>
          <w:sz w:val="24"/>
          <w:szCs w:val="24"/>
          <w:highlight w:val="white"/>
        </w:rPr>
      </w:pPr>
      <w:r w:rsidRPr="00AC552B">
        <w:rPr>
          <w:rFonts w:ascii="Arial" w:eastAsia="Arial" w:hAnsi="Arial" w:cs="Arial"/>
          <w:sz w:val="24"/>
          <w:szCs w:val="24"/>
          <w:highlight w:val="white"/>
        </w:rPr>
        <w:t>Cascading prompt payment throughout Supplier supply chains as per Paragraph 4: Pricing and Payments of the Core Terms</w:t>
      </w:r>
    </w:p>
    <w:p w:rsidR="00D652A1" w:rsidRPr="00AC552B" w:rsidRDefault="00D652A1" w:rsidP="002F7E5A">
      <w:pPr>
        <w:numPr>
          <w:ilvl w:val="0"/>
          <w:numId w:val="9"/>
        </w:numPr>
        <w:shd w:val="clear" w:color="auto" w:fill="FFFFFF"/>
        <w:spacing w:after="0" w:line="240" w:lineRule="auto"/>
        <w:ind w:left="1800"/>
        <w:jc w:val="both"/>
        <w:rPr>
          <w:rFonts w:ascii="Arial" w:eastAsia="Arial" w:hAnsi="Arial" w:cs="Arial"/>
          <w:sz w:val="24"/>
          <w:szCs w:val="24"/>
          <w:highlight w:val="white"/>
        </w:rPr>
      </w:pPr>
      <w:r w:rsidRPr="00AC552B">
        <w:rPr>
          <w:rFonts w:ascii="Arial" w:eastAsia="Arial" w:hAnsi="Arial" w:cs="Arial"/>
          <w:sz w:val="24"/>
          <w:szCs w:val="24"/>
          <w:highlight w:val="white"/>
        </w:rPr>
        <w:t>Growth &amp; Development through provision of advice and support to SMEs &amp; SEs to develop resilient local supply chains.</w:t>
      </w:r>
    </w:p>
    <w:p w:rsidR="00D652A1" w:rsidRPr="00AC552B" w:rsidRDefault="00D652A1" w:rsidP="00D652A1">
      <w:pPr>
        <w:shd w:val="clear" w:color="auto" w:fill="FFFFFF"/>
        <w:spacing w:after="0" w:line="240" w:lineRule="auto"/>
        <w:jc w:val="both"/>
        <w:rPr>
          <w:rFonts w:ascii="Arial" w:eastAsia="Arial" w:hAnsi="Arial" w:cs="Arial"/>
          <w:sz w:val="24"/>
          <w:szCs w:val="24"/>
          <w:highlight w:val="white"/>
        </w:rPr>
      </w:pPr>
    </w:p>
    <w:p w:rsidR="00D652A1" w:rsidRPr="00AC552B" w:rsidRDefault="00D652A1" w:rsidP="00D652A1">
      <w:pPr>
        <w:spacing w:after="0" w:line="240" w:lineRule="auto"/>
        <w:rPr>
          <w:rFonts w:ascii="Arial" w:eastAsia="Arial" w:hAnsi="Arial" w:cs="Arial"/>
          <w:b/>
          <w:sz w:val="24"/>
          <w:szCs w:val="24"/>
        </w:rPr>
      </w:pPr>
      <w:r w:rsidRPr="00AC552B">
        <w:rPr>
          <w:rFonts w:ascii="Arial" w:eastAsia="Arial" w:hAnsi="Arial" w:cs="Arial"/>
          <w:b/>
          <w:sz w:val="24"/>
          <w:szCs w:val="24"/>
          <w:highlight w:val="white"/>
        </w:rPr>
        <w:t xml:space="preserve">4.2.1 (ii) (a) </w:t>
      </w:r>
      <w:r w:rsidRPr="00AC552B">
        <w:rPr>
          <w:rFonts w:ascii="Arial" w:eastAsia="Arial" w:hAnsi="Arial" w:cs="Arial"/>
          <w:b/>
          <w:sz w:val="24"/>
          <w:szCs w:val="24"/>
        </w:rPr>
        <w:t>Cyber security risks</w:t>
      </w:r>
    </w:p>
    <w:p w:rsidR="00D652A1" w:rsidRPr="00AC552B" w:rsidRDefault="00D652A1" w:rsidP="00D652A1">
      <w:pPr>
        <w:spacing w:after="0" w:line="240" w:lineRule="auto"/>
        <w:ind w:left="720"/>
        <w:rPr>
          <w:rFonts w:ascii="Arial" w:eastAsia="Arial" w:hAnsi="Arial" w:cs="Arial"/>
          <w:b/>
          <w:sz w:val="24"/>
          <w:szCs w:val="24"/>
        </w:rPr>
      </w:pPr>
    </w:p>
    <w:p w:rsidR="00D652A1" w:rsidRPr="00AC552B" w:rsidRDefault="00D652A1" w:rsidP="00D652A1">
      <w:pPr>
        <w:spacing w:after="0" w:line="240" w:lineRule="auto"/>
        <w:ind w:left="1440"/>
        <w:rPr>
          <w:rFonts w:ascii="Arial" w:eastAsia="Arial" w:hAnsi="Arial" w:cs="Arial"/>
          <w:sz w:val="24"/>
          <w:szCs w:val="24"/>
        </w:rPr>
      </w:pPr>
      <w:r w:rsidRPr="00AC552B">
        <w:rPr>
          <w:rFonts w:ascii="Arial" w:eastAsia="Arial" w:hAnsi="Arial" w:cs="Arial"/>
          <w:sz w:val="24"/>
          <w:szCs w:val="24"/>
        </w:rPr>
        <w:t>Suppliers and key sub contractors will be expected to have effective measures to mitigate and manage cyber security risks relating to the contract. CCS requires Suppliers and (where appropriate) Key Subcontractors to hold current Cyber Essentials certification for the duration of the framework term. Buyers may require Suppliers to hold current certification for a longer period depending on the term of Call Off Contracts.</w:t>
      </w:r>
    </w:p>
    <w:p w:rsidR="00D652A1" w:rsidRPr="00AC552B" w:rsidRDefault="00D652A1" w:rsidP="00D652A1">
      <w:pPr>
        <w:spacing w:after="0" w:line="240" w:lineRule="auto"/>
        <w:ind w:left="1440"/>
        <w:rPr>
          <w:rFonts w:ascii="Arial" w:eastAsia="Arial" w:hAnsi="Arial" w:cs="Arial"/>
          <w:sz w:val="24"/>
          <w:szCs w:val="24"/>
        </w:rPr>
      </w:pPr>
    </w:p>
    <w:p w:rsidR="00D652A1" w:rsidRPr="00AC552B" w:rsidRDefault="00D652A1" w:rsidP="00D652A1">
      <w:pPr>
        <w:spacing w:after="0" w:line="240" w:lineRule="auto"/>
        <w:ind w:left="1440"/>
        <w:rPr>
          <w:rFonts w:ascii="Arial" w:eastAsia="Arial" w:hAnsi="Arial" w:cs="Arial"/>
          <w:sz w:val="24"/>
          <w:szCs w:val="24"/>
        </w:rPr>
      </w:pPr>
      <w:r w:rsidRPr="00AC552B">
        <w:rPr>
          <w:rFonts w:ascii="Arial" w:eastAsia="Arial" w:hAnsi="Arial" w:cs="Arial"/>
          <w:sz w:val="24"/>
          <w:szCs w:val="24"/>
        </w:rPr>
        <w:t>Suppliers and key sub contractors will be required to undertake CHECK compliant Penetration Testing, with an NCSC approved provider, prior to ‘Go Live’ and annually thereafter. Further information can be found at:</w:t>
      </w:r>
    </w:p>
    <w:p w:rsidR="00D652A1" w:rsidRPr="00AC552B" w:rsidRDefault="00931C68" w:rsidP="00D652A1">
      <w:pPr>
        <w:spacing w:after="0" w:line="240" w:lineRule="auto"/>
        <w:ind w:left="1440"/>
        <w:rPr>
          <w:rFonts w:ascii="Arial" w:eastAsia="Arial" w:hAnsi="Arial" w:cs="Arial"/>
          <w:sz w:val="24"/>
          <w:szCs w:val="24"/>
        </w:rPr>
      </w:pPr>
      <w:hyperlink r:id="rId20">
        <w:r w:rsidR="00D652A1" w:rsidRPr="00AC552B">
          <w:rPr>
            <w:rFonts w:ascii="Arial" w:eastAsia="Arial" w:hAnsi="Arial" w:cs="Arial"/>
            <w:color w:val="1155CC"/>
            <w:sz w:val="24"/>
            <w:szCs w:val="24"/>
            <w:u w:val="single"/>
          </w:rPr>
          <w:t xml:space="preserve">NCSC_Using a CHECK Provider </w:t>
        </w:r>
      </w:hyperlink>
    </w:p>
    <w:p w:rsidR="00D652A1" w:rsidRPr="00AC552B" w:rsidRDefault="00931C68" w:rsidP="00D652A1">
      <w:pPr>
        <w:spacing w:after="0" w:line="240" w:lineRule="auto"/>
        <w:ind w:left="1440"/>
        <w:rPr>
          <w:rFonts w:ascii="Arial" w:eastAsia="Arial" w:hAnsi="Arial" w:cs="Arial"/>
          <w:sz w:val="24"/>
          <w:szCs w:val="24"/>
        </w:rPr>
      </w:pPr>
      <w:hyperlink r:id="rId21">
        <w:r w:rsidR="00D652A1" w:rsidRPr="00AC552B">
          <w:rPr>
            <w:rFonts w:ascii="Arial" w:eastAsia="Arial" w:hAnsi="Arial" w:cs="Arial"/>
            <w:color w:val="1155CC"/>
            <w:sz w:val="24"/>
            <w:szCs w:val="24"/>
            <w:u w:val="single"/>
          </w:rPr>
          <w:t>NCSC_Penetration Testing</w:t>
        </w:r>
      </w:hyperlink>
    </w:p>
    <w:p w:rsidR="00D652A1" w:rsidRPr="00AC552B" w:rsidRDefault="00D652A1" w:rsidP="00D652A1">
      <w:pPr>
        <w:spacing w:after="0" w:line="240" w:lineRule="auto"/>
        <w:rPr>
          <w:rFonts w:ascii="Arial" w:eastAsia="Arial" w:hAnsi="Arial" w:cs="Arial"/>
          <w:sz w:val="24"/>
          <w:szCs w:val="24"/>
        </w:rPr>
      </w:pPr>
    </w:p>
    <w:p w:rsidR="00D652A1" w:rsidRPr="00AC552B" w:rsidRDefault="00D652A1" w:rsidP="00D652A1">
      <w:pPr>
        <w:spacing w:after="0" w:line="240" w:lineRule="auto"/>
        <w:rPr>
          <w:rFonts w:ascii="Arial" w:eastAsia="Arial" w:hAnsi="Arial" w:cs="Arial"/>
          <w:b/>
          <w:sz w:val="24"/>
          <w:szCs w:val="24"/>
        </w:rPr>
      </w:pPr>
      <w:r w:rsidRPr="00AC552B">
        <w:rPr>
          <w:rFonts w:ascii="Arial" w:eastAsia="Arial" w:hAnsi="Arial" w:cs="Arial"/>
          <w:b/>
          <w:sz w:val="24"/>
          <w:szCs w:val="24"/>
        </w:rPr>
        <w:t xml:space="preserve">4.2.2 EQUAL OPPORTUNITY </w:t>
      </w:r>
    </w:p>
    <w:p w:rsidR="00D652A1" w:rsidRPr="00AC552B" w:rsidRDefault="00D652A1" w:rsidP="00D652A1">
      <w:pPr>
        <w:spacing w:after="0" w:line="240" w:lineRule="auto"/>
        <w:ind w:left="720"/>
        <w:rPr>
          <w:rFonts w:ascii="Arial" w:eastAsia="Arial" w:hAnsi="Arial" w:cs="Arial"/>
          <w:b/>
          <w:sz w:val="24"/>
          <w:szCs w:val="24"/>
        </w:rPr>
      </w:pPr>
    </w:p>
    <w:p w:rsidR="00D652A1" w:rsidRPr="00AC552B" w:rsidRDefault="00D652A1" w:rsidP="00D652A1">
      <w:pPr>
        <w:spacing w:after="0" w:line="240" w:lineRule="auto"/>
        <w:rPr>
          <w:rFonts w:ascii="Arial" w:eastAsia="Arial" w:hAnsi="Arial" w:cs="Arial"/>
          <w:b/>
          <w:sz w:val="24"/>
          <w:szCs w:val="24"/>
        </w:rPr>
      </w:pPr>
      <w:r w:rsidRPr="00AC552B">
        <w:rPr>
          <w:rFonts w:ascii="Arial" w:eastAsia="Arial" w:hAnsi="Arial" w:cs="Arial"/>
          <w:b/>
          <w:sz w:val="24"/>
          <w:szCs w:val="24"/>
        </w:rPr>
        <w:t>4.2.2 (i) Tackling workforce inequality - reducing modern slavery risks</w:t>
      </w:r>
    </w:p>
    <w:p w:rsidR="00D652A1" w:rsidRPr="00AC552B" w:rsidRDefault="00D652A1" w:rsidP="00D652A1">
      <w:pPr>
        <w:spacing w:after="0" w:line="240" w:lineRule="auto"/>
        <w:ind w:left="720"/>
        <w:rPr>
          <w:rFonts w:ascii="Arial" w:eastAsia="Arial" w:hAnsi="Arial" w:cs="Arial"/>
          <w:b/>
          <w:sz w:val="24"/>
          <w:szCs w:val="24"/>
        </w:rPr>
      </w:pPr>
    </w:p>
    <w:p w:rsidR="00D652A1" w:rsidRPr="00AC552B" w:rsidRDefault="00D652A1" w:rsidP="00D652A1">
      <w:pPr>
        <w:spacing w:after="160" w:line="259" w:lineRule="auto"/>
        <w:ind w:left="1440"/>
        <w:jc w:val="both"/>
        <w:rPr>
          <w:rFonts w:ascii="Arial" w:eastAsia="Arial" w:hAnsi="Arial" w:cs="Arial"/>
          <w:sz w:val="24"/>
          <w:szCs w:val="24"/>
        </w:rPr>
      </w:pPr>
      <w:r w:rsidRPr="00AC552B">
        <w:rPr>
          <w:rFonts w:ascii="Arial" w:eastAsia="Arial" w:hAnsi="Arial" w:cs="Arial"/>
          <w:sz w:val="24"/>
          <w:szCs w:val="24"/>
        </w:rPr>
        <w:t xml:space="preserve">CCS and Buyer(s) have an important role to ensure the Suppliers - including sub-contractors - with whom we do business comply with the provisions of the Modern Slavery Act 2015, understand the risks of modern slavery in supply chains, and take appropriate action to identify and address those risks. </w:t>
      </w:r>
      <w:r w:rsidRPr="00AC552B">
        <w:rPr>
          <w:rFonts w:ascii="Arial" w:eastAsia="Arial" w:hAnsi="Arial" w:cs="Arial"/>
          <w:color w:val="333333"/>
          <w:sz w:val="24"/>
          <w:szCs w:val="24"/>
          <w:highlight w:val="white"/>
        </w:rPr>
        <w:t xml:space="preserve">Where a Supplier has a turnover of £36 million (or more) they must publish a statement in accordance with </w:t>
      </w:r>
      <w:hyperlink r:id="rId22">
        <w:r w:rsidRPr="00AC552B">
          <w:rPr>
            <w:rFonts w:ascii="Arial" w:eastAsia="Arial" w:hAnsi="Arial" w:cs="Arial"/>
            <w:color w:val="1155CC"/>
            <w:sz w:val="24"/>
            <w:szCs w:val="24"/>
            <w:u w:val="single"/>
          </w:rPr>
          <w:t>Section 54 of the Modern Slavery Act (2015)</w:t>
        </w:r>
      </w:hyperlink>
      <w:r w:rsidRPr="00AC552B">
        <w:rPr>
          <w:rFonts w:ascii="Arial" w:eastAsia="Arial" w:hAnsi="Arial" w:cs="Arial"/>
          <w:b/>
          <w:color w:val="333333"/>
          <w:sz w:val="24"/>
          <w:szCs w:val="24"/>
          <w:highlight w:val="white"/>
        </w:rPr>
        <w:t xml:space="preserve">. </w:t>
      </w:r>
      <w:r w:rsidRPr="00AC552B">
        <w:rPr>
          <w:rFonts w:ascii="Arial" w:eastAsia="Arial" w:hAnsi="Arial" w:cs="Arial"/>
          <w:color w:val="333333"/>
          <w:sz w:val="24"/>
          <w:szCs w:val="24"/>
          <w:highlight w:val="white"/>
        </w:rPr>
        <w:t xml:space="preserve">CCS will require Suppliers to comply with this provision and to demonstrate compliance throughout the term of the Framework Agreement. </w:t>
      </w:r>
    </w:p>
    <w:p w:rsidR="00D652A1" w:rsidRPr="00AC552B" w:rsidRDefault="00D652A1" w:rsidP="00D652A1">
      <w:pPr>
        <w:spacing w:after="160" w:line="259" w:lineRule="auto"/>
        <w:ind w:left="1440"/>
        <w:jc w:val="both"/>
        <w:rPr>
          <w:rFonts w:ascii="Arial" w:eastAsia="Arial" w:hAnsi="Arial" w:cs="Arial"/>
          <w:sz w:val="24"/>
          <w:szCs w:val="24"/>
        </w:rPr>
      </w:pPr>
      <w:r w:rsidRPr="00AC552B">
        <w:rPr>
          <w:rFonts w:ascii="Arial" w:eastAsia="Arial" w:hAnsi="Arial" w:cs="Arial"/>
          <w:sz w:val="24"/>
          <w:szCs w:val="24"/>
        </w:rPr>
        <w:t xml:space="preserve">Suppliers will be required to comply with the provisions of the </w:t>
      </w:r>
      <w:hyperlink r:id="rId23">
        <w:r w:rsidRPr="00AC552B">
          <w:rPr>
            <w:rFonts w:ascii="Arial" w:eastAsia="Arial" w:hAnsi="Arial" w:cs="Arial"/>
            <w:color w:val="1155CC"/>
            <w:sz w:val="24"/>
            <w:szCs w:val="24"/>
            <w:u w:val="single"/>
          </w:rPr>
          <w:t>Supplier Code of Conduct</w:t>
        </w:r>
      </w:hyperlink>
      <w:r w:rsidRPr="00AC552B">
        <w:rPr>
          <w:rFonts w:ascii="Arial" w:eastAsia="Arial" w:hAnsi="Arial" w:cs="Arial"/>
          <w:sz w:val="24"/>
          <w:szCs w:val="24"/>
        </w:rPr>
        <w:t xml:space="preserve"> and the standards set out in Joint Schedule 5 on Corporate Social Responsibility including the reporting (see Framework Schedule 5 Management Charges and Information) and continuous improvement (see Call-Off Schedule 3 Continuous Improvement) requirements.</w:t>
      </w:r>
    </w:p>
    <w:p w:rsidR="00D652A1" w:rsidRPr="00AC552B" w:rsidRDefault="00D652A1" w:rsidP="00D652A1">
      <w:pPr>
        <w:spacing w:after="160" w:line="259" w:lineRule="auto"/>
        <w:ind w:left="1440"/>
        <w:jc w:val="both"/>
        <w:rPr>
          <w:rFonts w:ascii="Arial" w:eastAsia="Arial" w:hAnsi="Arial" w:cs="Arial"/>
          <w:sz w:val="24"/>
          <w:szCs w:val="24"/>
        </w:rPr>
      </w:pPr>
      <w:r w:rsidRPr="00AC552B">
        <w:rPr>
          <w:rFonts w:ascii="Arial" w:eastAsia="Arial" w:hAnsi="Arial" w:cs="Arial"/>
          <w:sz w:val="24"/>
          <w:szCs w:val="24"/>
        </w:rPr>
        <w:t>Specific risks exist for the technology sector with the manufacturing and sourcing of devices and hardware. Where Suppliers sell computer hardware as part of Call Off contracts made under this Framework Agreement, CCS and Buyers expect that Suppliers will address these known risks within the supply chain through supplier annual slavery and human trafficking report as requested in Joint Schedule 5 (Corporate Social Responsibility). CCS may provide the reports to Buyer as part of their Call-Off Procedure.</w:t>
      </w:r>
    </w:p>
    <w:p w:rsidR="00D652A1" w:rsidRDefault="00D652A1" w:rsidP="00D652A1">
      <w:pPr>
        <w:shd w:val="clear" w:color="auto" w:fill="FFFFFF"/>
        <w:spacing w:after="160" w:line="240" w:lineRule="auto"/>
        <w:ind w:left="1440"/>
        <w:jc w:val="both"/>
        <w:rPr>
          <w:rFonts w:ascii="Arial" w:eastAsia="Arial" w:hAnsi="Arial" w:cs="Arial"/>
          <w:sz w:val="24"/>
          <w:szCs w:val="24"/>
        </w:rPr>
      </w:pPr>
      <w:r w:rsidRPr="00AC552B">
        <w:rPr>
          <w:rFonts w:ascii="Arial" w:eastAsia="Arial" w:hAnsi="Arial" w:cs="Arial"/>
          <w:sz w:val="24"/>
          <w:szCs w:val="24"/>
        </w:rPr>
        <w:t>Suppliers must provide a slavery and human trafficking report (see Joint Schedule 5 - Paragraph 3) to the Authority on an annual basis.</w:t>
      </w:r>
    </w:p>
    <w:p w:rsidR="00D652A1" w:rsidRPr="00AC552B" w:rsidRDefault="00D652A1" w:rsidP="00D652A1">
      <w:pPr>
        <w:spacing w:after="160" w:line="259" w:lineRule="auto"/>
        <w:rPr>
          <w:rFonts w:ascii="Arial" w:eastAsia="Arial" w:hAnsi="Arial" w:cs="Arial"/>
          <w:b/>
          <w:sz w:val="24"/>
          <w:szCs w:val="24"/>
        </w:rPr>
      </w:pPr>
      <w:r w:rsidRPr="00AC552B">
        <w:rPr>
          <w:rFonts w:ascii="Arial" w:eastAsia="Arial" w:hAnsi="Arial" w:cs="Arial"/>
          <w:b/>
          <w:sz w:val="24"/>
          <w:szCs w:val="24"/>
        </w:rPr>
        <w:lastRenderedPageBreak/>
        <w:t>4.2.3 FIGHTING CLIMATE CHANGE</w:t>
      </w:r>
    </w:p>
    <w:p w:rsidR="00D652A1" w:rsidRPr="00AC552B" w:rsidRDefault="00D652A1" w:rsidP="00D652A1">
      <w:pPr>
        <w:spacing w:after="160" w:line="259" w:lineRule="auto"/>
        <w:rPr>
          <w:rFonts w:ascii="Arial" w:eastAsia="Arial" w:hAnsi="Arial" w:cs="Arial"/>
          <w:b/>
          <w:sz w:val="24"/>
          <w:szCs w:val="24"/>
        </w:rPr>
      </w:pPr>
      <w:r w:rsidRPr="00AC552B">
        <w:rPr>
          <w:rFonts w:ascii="Arial" w:eastAsia="Arial" w:hAnsi="Arial" w:cs="Arial"/>
          <w:b/>
          <w:sz w:val="24"/>
          <w:szCs w:val="24"/>
        </w:rPr>
        <w:t>4.2.3 (i) Effective Stewardship of the Environment</w:t>
      </w:r>
    </w:p>
    <w:p w:rsidR="00D652A1" w:rsidRPr="00AC552B" w:rsidRDefault="00D652A1" w:rsidP="00D652A1">
      <w:pPr>
        <w:spacing w:after="160" w:line="259" w:lineRule="auto"/>
        <w:ind w:left="1440"/>
        <w:rPr>
          <w:rFonts w:ascii="Arial" w:eastAsia="Arial" w:hAnsi="Arial" w:cs="Arial"/>
          <w:sz w:val="24"/>
          <w:szCs w:val="24"/>
        </w:rPr>
      </w:pPr>
      <w:r w:rsidRPr="00AC552B">
        <w:rPr>
          <w:rFonts w:ascii="Arial" w:eastAsia="Arial" w:hAnsi="Arial" w:cs="Arial"/>
          <w:sz w:val="24"/>
          <w:szCs w:val="24"/>
        </w:rPr>
        <w:t xml:space="preserve">Environmental Sustainability in support of the Government’s 25 Year  Environment Plan </w:t>
      </w:r>
    </w:p>
    <w:p w:rsidR="00D652A1" w:rsidRPr="00AC552B" w:rsidRDefault="00D652A1" w:rsidP="00D652A1">
      <w:pPr>
        <w:shd w:val="clear" w:color="auto" w:fill="FFFFFF"/>
        <w:spacing w:after="0" w:line="240" w:lineRule="auto"/>
        <w:ind w:left="1440"/>
        <w:rPr>
          <w:rFonts w:ascii="Arial" w:eastAsia="Arial" w:hAnsi="Arial" w:cs="Arial"/>
          <w:sz w:val="24"/>
          <w:szCs w:val="24"/>
        </w:rPr>
      </w:pPr>
      <w:r w:rsidRPr="00AC552B">
        <w:rPr>
          <w:rFonts w:ascii="Arial" w:eastAsia="Arial" w:hAnsi="Arial" w:cs="Arial"/>
          <w:sz w:val="24"/>
          <w:szCs w:val="24"/>
        </w:rPr>
        <w:t xml:space="preserve">The 25 Year Environment Plan sets out what the Government intends to do to improve the environment: </w:t>
      </w:r>
      <w:hyperlink r:id="rId24">
        <w:r w:rsidRPr="00AC552B">
          <w:rPr>
            <w:rFonts w:ascii="Arial" w:eastAsia="Arial" w:hAnsi="Arial" w:cs="Arial"/>
            <w:color w:val="0000FF"/>
            <w:sz w:val="24"/>
            <w:szCs w:val="24"/>
            <w:u w:val="single"/>
          </w:rPr>
          <w:t>https://www.gov.uk/government/publications/25-year-environment-plan</w:t>
        </w:r>
      </w:hyperlink>
      <w:r w:rsidRPr="00AC552B">
        <w:rPr>
          <w:rFonts w:ascii="Arial" w:eastAsia="Arial" w:hAnsi="Arial" w:cs="Arial"/>
          <w:sz w:val="24"/>
          <w:szCs w:val="24"/>
        </w:rPr>
        <w:t>.</w:t>
      </w:r>
    </w:p>
    <w:p w:rsidR="00D652A1" w:rsidRPr="00AC552B" w:rsidRDefault="00D652A1" w:rsidP="00D652A1">
      <w:pPr>
        <w:spacing w:after="160" w:line="259" w:lineRule="auto"/>
        <w:ind w:left="1440"/>
        <w:rPr>
          <w:rFonts w:ascii="Arial" w:eastAsia="Arial" w:hAnsi="Arial" w:cs="Arial"/>
          <w:sz w:val="24"/>
          <w:szCs w:val="24"/>
        </w:rPr>
      </w:pPr>
      <w:r w:rsidRPr="00AC552B">
        <w:rPr>
          <w:rFonts w:ascii="Arial" w:eastAsia="Arial" w:hAnsi="Arial" w:cs="Arial"/>
          <w:sz w:val="24"/>
          <w:szCs w:val="24"/>
        </w:rPr>
        <w:t xml:space="preserve">Suppliers will be expected to demonstrate understanding of the negative impacts of their industry and how they are addressed, through action, supply chain collaboration and innovation.  </w:t>
      </w:r>
    </w:p>
    <w:p w:rsidR="00D652A1" w:rsidRPr="00AC552B" w:rsidRDefault="00D652A1" w:rsidP="00D652A1">
      <w:pPr>
        <w:shd w:val="clear" w:color="auto" w:fill="FFFFFF"/>
        <w:spacing w:line="227" w:lineRule="auto"/>
        <w:ind w:left="1440"/>
        <w:rPr>
          <w:rFonts w:ascii="Arial" w:eastAsia="Arial" w:hAnsi="Arial" w:cs="Arial"/>
          <w:sz w:val="24"/>
          <w:szCs w:val="24"/>
        </w:rPr>
      </w:pPr>
      <w:r w:rsidRPr="00AC552B">
        <w:rPr>
          <w:rFonts w:ascii="Arial" w:eastAsia="Arial" w:hAnsi="Arial" w:cs="Arial"/>
          <w:color w:val="222222"/>
          <w:sz w:val="24"/>
          <w:szCs w:val="24"/>
        </w:rPr>
        <w:t xml:space="preserve">All Government Departments are mandated to buy in line with the Government Buying Standards (GBS) which set minimum mandatory buying standards for certain goods and services, including ICT equipment. Suppliers will be expected to support the delivery of the Government’s targets for </w:t>
      </w:r>
      <w:r w:rsidRPr="00AC552B">
        <w:rPr>
          <w:rFonts w:ascii="Arial" w:eastAsia="Arial" w:hAnsi="Arial" w:cs="Arial"/>
          <w:sz w:val="24"/>
          <w:szCs w:val="24"/>
        </w:rPr>
        <w:t xml:space="preserve">eliminating the use of single use plastics, ensuring the safe disposal of waste, tackling climate change and cutting greenhouse gases.  </w:t>
      </w:r>
    </w:p>
    <w:p w:rsidR="00D652A1" w:rsidRPr="00AC552B" w:rsidRDefault="00D652A1" w:rsidP="00D652A1">
      <w:pPr>
        <w:spacing w:after="0" w:line="240" w:lineRule="auto"/>
        <w:ind w:left="1440"/>
        <w:rPr>
          <w:rFonts w:ascii="Arial" w:eastAsia="Arial" w:hAnsi="Arial" w:cs="Arial"/>
          <w:sz w:val="24"/>
          <w:szCs w:val="24"/>
        </w:rPr>
      </w:pPr>
      <w:r w:rsidRPr="00AC552B">
        <w:rPr>
          <w:rFonts w:ascii="Arial" w:eastAsia="Arial" w:hAnsi="Arial" w:cs="Arial"/>
          <w:sz w:val="24"/>
          <w:szCs w:val="24"/>
        </w:rPr>
        <w:t>Buyers may test Suppliers’ approaches to supporting environmental sustainability, where relevant to their specific requirements as part of the Call-Off Procedure.</w:t>
      </w:r>
    </w:p>
    <w:p w:rsidR="00D652A1" w:rsidRDefault="00D652A1" w:rsidP="00D652A1">
      <w:pPr>
        <w:shd w:val="clear" w:color="auto" w:fill="FFFFFF"/>
        <w:spacing w:after="160" w:line="240" w:lineRule="auto"/>
        <w:ind w:left="1440"/>
        <w:jc w:val="both"/>
        <w:rPr>
          <w:rFonts w:ascii="Arial" w:hAnsi="Arial" w:cs="Arial"/>
          <w:sz w:val="24"/>
          <w:szCs w:val="24"/>
        </w:rPr>
      </w:pPr>
    </w:p>
    <w:p w:rsidR="00D652A1" w:rsidRPr="00AC552B" w:rsidRDefault="00D652A1" w:rsidP="00D652A1">
      <w:pPr>
        <w:shd w:val="clear" w:color="auto" w:fill="FFFFFF"/>
        <w:spacing w:after="0" w:line="240" w:lineRule="auto"/>
        <w:jc w:val="both"/>
        <w:rPr>
          <w:rFonts w:ascii="Arial" w:eastAsia="Arial" w:hAnsi="Arial" w:cs="Arial"/>
          <w:b/>
          <w:sz w:val="24"/>
          <w:szCs w:val="24"/>
          <w:highlight w:val="white"/>
        </w:rPr>
      </w:pPr>
      <w:r w:rsidRPr="00AC552B">
        <w:rPr>
          <w:rFonts w:ascii="Arial" w:eastAsia="Arial" w:hAnsi="Arial" w:cs="Arial"/>
          <w:b/>
          <w:sz w:val="24"/>
          <w:szCs w:val="24"/>
          <w:highlight w:val="white"/>
        </w:rPr>
        <w:t>4.2.4 WELLBEING</w:t>
      </w:r>
    </w:p>
    <w:p w:rsidR="00D652A1" w:rsidRPr="00AC552B" w:rsidRDefault="00D652A1" w:rsidP="00D652A1">
      <w:pPr>
        <w:shd w:val="clear" w:color="auto" w:fill="FFFFFF"/>
        <w:spacing w:after="0" w:line="240" w:lineRule="auto"/>
        <w:ind w:left="720"/>
        <w:jc w:val="both"/>
        <w:rPr>
          <w:rFonts w:ascii="Arial" w:eastAsia="Arial" w:hAnsi="Arial" w:cs="Arial"/>
          <w:b/>
          <w:sz w:val="24"/>
          <w:szCs w:val="24"/>
          <w:highlight w:val="white"/>
        </w:rPr>
      </w:pPr>
    </w:p>
    <w:p w:rsidR="00D652A1" w:rsidRPr="00AC552B" w:rsidRDefault="00D652A1" w:rsidP="00D652A1">
      <w:pPr>
        <w:spacing w:after="160" w:line="240" w:lineRule="auto"/>
        <w:ind w:left="1440"/>
        <w:jc w:val="both"/>
        <w:rPr>
          <w:rFonts w:ascii="Arial" w:eastAsia="Arial" w:hAnsi="Arial" w:cs="Arial"/>
          <w:sz w:val="24"/>
          <w:szCs w:val="24"/>
        </w:rPr>
      </w:pPr>
      <w:r w:rsidRPr="00AC552B">
        <w:rPr>
          <w:rFonts w:ascii="Arial" w:eastAsia="Arial" w:hAnsi="Arial" w:cs="Arial"/>
          <w:sz w:val="24"/>
          <w:szCs w:val="24"/>
          <w:highlight w:val="white"/>
        </w:rPr>
        <w:t xml:space="preserve">CCS expects our Suppliers to make a positive impact on individual wellbeing and contribute to transforming our local communities in a real and sustainable manner. </w:t>
      </w:r>
      <w:r w:rsidRPr="00AC552B">
        <w:rPr>
          <w:rFonts w:ascii="Arial" w:eastAsia="Arial" w:hAnsi="Arial" w:cs="Arial"/>
          <w:sz w:val="24"/>
          <w:szCs w:val="24"/>
        </w:rPr>
        <w:t>The framework sets out the requirement for website and application accessibility in line with WCAG 2.1. and with ISO/IEC 13066-1:2011 Information Technology - Interoperability with assistive technology (AT).</w:t>
      </w:r>
    </w:p>
    <w:p w:rsidR="00D652A1" w:rsidRPr="00AC552B" w:rsidRDefault="00D652A1" w:rsidP="00D652A1">
      <w:pPr>
        <w:spacing w:after="160" w:line="240" w:lineRule="auto"/>
        <w:ind w:left="1440"/>
        <w:jc w:val="both"/>
        <w:rPr>
          <w:rFonts w:ascii="Arial" w:eastAsia="Arial" w:hAnsi="Arial" w:cs="Arial"/>
          <w:sz w:val="24"/>
          <w:szCs w:val="24"/>
        </w:rPr>
      </w:pPr>
      <w:r w:rsidRPr="00AC552B">
        <w:rPr>
          <w:rFonts w:ascii="Arial" w:eastAsia="Arial" w:hAnsi="Arial" w:cs="Arial"/>
          <w:sz w:val="24"/>
          <w:szCs w:val="24"/>
        </w:rPr>
        <w:t>Other ways in which the Supplier may be able to support wellbeing and community benefits include (but are not limited to):</w:t>
      </w:r>
    </w:p>
    <w:p w:rsidR="00D652A1" w:rsidRPr="00AC552B" w:rsidRDefault="00D652A1" w:rsidP="002F7E5A">
      <w:pPr>
        <w:numPr>
          <w:ilvl w:val="0"/>
          <w:numId w:val="11"/>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Supporting local businesses (not currently part of the existing supply chain) e.g. SMEs &amp; SEs;</w:t>
      </w:r>
    </w:p>
    <w:p w:rsidR="00D652A1" w:rsidRPr="00AC552B" w:rsidRDefault="00D652A1" w:rsidP="002F7E5A">
      <w:pPr>
        <w:numPr>
          <w:ilvl w:val="0"/>
          <w:numId w:val="11"/>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Improving the experience of service users with specific diversity profiles or needs e.g. ensuring accessibility, undertaking staff sensitivity training, fostering a culture of respect for Buyers of diverse profiles;</w:t>
      </w:r>
    </w:p>
    <w:p w:rsidR="00D652A1" w:rsidRPr="00AC552B" w:rsidRDefault="00D652A1" w:rsidP="002F7E5A">
      <w:pPr>
        <w:numPr>
          <w:ilvl w:val="0"/>
          <w:numId w:val="11"/>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Creating cohesive communities: initiatives to support vulnerable people and address social issues such as homelessness, loneliness such as (but not limited to) donations to charities, staff volunteering, fundraising activities, befriending schemes etc;</w:t>
      </w:r>
    </w:p>
    <w:p w:rsidR="00D652A1" w:rsidRPr="00AC552B" w:rsidRDefault="00D652A1" w:rsidP="002F7E5A">
      <w:pPr>
        <w:numPr>
          <w:ilvl w:val="0"/>
          <w:numId w:val="11"/>
        </w:numPr>
        <w:spacing w:after="0" w:line="240" w:lineRule="auto"/>
        <w:ind w:left="2160"/>
        <w:jc w:val="both"/>
        <w:rPr>
          <w:rFonts w:ascii="Arial" w:eastAsia="Arial" w:hAnsi="Arial" w:cs="Arial"/>
          <w:sz w:val="24"/>
          <w:szCs w:val="24"/>
        </w:rPr>
      </w:pPr>
      <w:r w:rsidRPr="00AC552B">
        <w:rPr>
          <w:rFonts w:ascii="Arial" w:eastAsia="Arial" w:hAnsi="Arial" w:cs="Arial"/>
          <w:sz w:val="24"/>
          <w:szCs w:val="24"/>
        </w:rPr>
        <w:t>Staff wellbeing e.g. promoting awareness about mental health, substance misuse, domestic abuse, first aid training, anti-bullying campaigns, gender equality and diversity training etc.</w:t>
      </w: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lastRenderedPageBreak/>
        <w:t xml:space="preserve"> </w:t>
      </w:r>
    </w:p>
    <w:p w:rsidR="00D652A1" w:rsidRPr="00AC552B" w:rsidRDefault="00D652A1" w:rsidP="00D652A1">
      <w:pPr>
        <w:spacing w:after="0" w:line="240" w:lineRule="auto"/>
        <w:ind w:left="1440"/>
        <w:jc w:val="both"/>
        <w:rPr>
          <w:rFonts w:ascii="Arial" w:eastAsia="Arial" w:hAnsi="Arial" w:cs="Arial"/>
          <w:sz w:val="24"/>
          <w:szCs w:val="24"/>
        </w:rPr>
      </w:pPr>
      <w:r w:rsidRPr="00AC552B">
        <w:rPr>
          <w:rFonts w:ascii="Arial" w:eastAsia="Arial" w:hAnsi="Arial" w:cs="Arial"/>
          <w:sz w:val="24"/>
          <w:szCs w:val="24"/>
        </w:rPr>
        <w:t xml:space="preserve">It is expected that Buyers may have different wellbeing and community benefits priorities specific to their local communities, and that they may therefore test Suppliers’ proposed methods for delivering wellbeing and community benefits as relevant to these specific requirements as part of the Call-Off Procedure. </w:t>
      </w:r>
    </w:p>
    <w:p w:rsidR="00D652A1" w:rsidRPr="00AC552B" w:rsidRDefault="00D652A1" w:rsidP="00D652A1">
      <w:pPr>
        <w:shd w:val="clear" w:color="auto" w:fill="FFFFFF"/>
        <w:spacing w:line="227" w:lineRule="auto"/>
        <w:rPr>
          <w:rFonts w:ascii="Arial" w:eastAsia="Arial" w:hAnsi="Arial" w:cs="Arial"/>
          <w:sz w:val="24"/>
          <w:szCs w:val="24"/>
        </w:rPr>
      </w:pPr>
      <w:r w:rsidRPr="00AC552B">
        <w:rPr>
          <w:rFonts w:ascii="Arial" w:eastAsia="Arial" w:hAnsi="Arial" w:cs="Arial"/>
          <w:sz w:val="24"/>
          <w:szCs w:val="24"/>
        </w:rPr>
        <w:t xml:space="preserve"> </w:t>
      </w:r>
    </w:p>
    <w:p w:rsidR="00D652A1" w:rsidRPr="00AC552B" w:rsidRDefault="00D652A1" w:rsidP="00D652A1">
      <w:pPr>
        <w:shd w:val="clear" w:color="auto" w:fill="FFFFFF"/>
        <w:spacing w:line="227" w:lineRule="auto"/>
        <w:rPr>
          <w:rFonts w:ascii="Arial" w:eastAsia="Arial" w:hAnsi="Arial" w:cs="Arial"/>
          <w:b/>
          <w:sz w:val="24"/>
          <w:szCs w:val="24"/>
        </w:rPr>
      </w:pPr>
      <w:r w:rsidRPr="00AC552B">
        <w:rPr>
          <w:rFonts w:ascii="Arial" w:eastAsia="Arial" w:hAnsi="Arial" w:cs="Arial"/>
          <w:b/>
          <w:sz w:val="24"/>
          <w:szCs w:val="24"/>
        </w:rPr>
        <w:t>4.2.5 COVID-19 RECOVERY</w:t>
      </w:r>
    </w:p>
    <w:p w:rsidR="00D652A1" w:rsidRPr="00AC552B" w:rsidRDefault="00D652A1" w:rsidP="00D652A1">
      <w:pPr>
        <w:shd w:val="clear" w:color="auto" w:fill="FFFFFF"/>
        <w:spacing w:before="240" w:after="240"/>
        <w:ind w:left="1417"/>
        <w:rPr>
          <w:rFonts w:ascii="Arial" w:eastAsia="Arial" w:hAnsi="Arial" w:cs="Arial"/>
          <w:sz w:val="24"/>
          <w:szCs w:val="24"/>
        </w:rPr>
      </w:pPr>
      <w:r w:rsidRPr="00AC552B">
        <w:rPr>
          <w:rFonts w:ascii="Arial" w:eastAsia="Arial" w:hAnsi="Arial" w:cs="Arial"/>
          <w:sz w:val="24"/>
          <w:szCs w:val="24"/>
        </w:rPr>
        <w:t>In practical ways, COVID-19 recovery means conducting or enabling contributions and activities that:</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support people at work or in the wider community to recover from COVID-19, for example by prompting effective social distancing, remote working where feasible, and sustainable travel solutions.</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provide protections for people who are at risk of being worse affected, who are shielding or are experiencing mental and psychological challenges to their wellbeing</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tackle inequalities through upskilling and supporting people to be successful in employment, especially those from vulnerable or disadvantaged groups.</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pay people fairly for the work they do and work with other companies with similar values and policies.</w:t>
      </w:r>
    </w:p>
    <w:p w:rsidR="00D652A1" w:rsidRPr="00AC552B" w:rsidRDefault="00D652A1" w:rsidP="002F7E5A">
      <w:pPr>
        <w:numPr>
          <w:ilvl w:val="0"/>
          <w:numId w:val="13"/>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create new and innovative ways of delivering value when providing services.</w:t>
      </w:r>
    </w:p>
    <w:p w:rsidR="00D652A1" w:rsidRPr="00AC552B" w:rsidRDefault="00D652A1" w:rsidP="00D652A1">
      <w:pPr>
        <w:shd w:val="clear" w:color="auto" w:fill="FFFFFF"/>
        <w:spacing w:after="0"/>
        <w:ind w:left="720" w:hanging="360"/>
        <w:jc w:val="both"/>
        <w:rPr>
          <w:rFonts w:ascii="Arial" w:eastAsia="Arial" w:hAnsi="Arial" w:cs="Arial"/>
          <w:sz w:val="24"/>
          <w:szCs w:val="24"/>
        </w:rPr>
      </w:pPr>
    </w:p>
    <w:p w:rsidR="00D652A1" w:rsidRPr="00AC552B" w:rsidRDefault="00D652A1" w:rsidP="00D652A1">
      <w:pPr>
        <w:shd w:val="clear" w:color="auto" w:fill="FFFFFF"/>
        <w:jc w:val="both"/>
        <w:rPr>
          <w:rFonts w:ascii="Arial" w:eastAsia="Arial" w:hAnsi="Arial" w:cs="Arial"/>
          <w:sz w:val="24"/>
          <w:szCs w:val="24"/>
          <w:highlight w:val="white"/>
        </w:rPr>
      </w:pPr>
      <w:r w:rsidRPr="00AC552B">
        <w:rPr>
          <w:rFonts w:ascii="Arial" w:eastAsia="Arial" w:hAnsi="Arial" w:cs="Arial"/>
          <w:b/>
          <w:sz w:val="24"/>
          <w:szCs w:val="24"/>
        </w:rPr>
        <w:t>4.2.6 Social Value reporting requirements</w:t>
      </w:r>
    </w:p>
    <w:p w:rsidR="00D652A1" w:rsidRPr="00AC552B" w:rsidRDefault="00D652A1" w:rsidP="00D652A1">
      <w:pPr>
        <w:shd w:val="clear" w:color="auto" w:fill="FFFFFF"/>
        <w:spacing w:after="0" w:line="240" w:lineRule="auto"/>
        <w:ind w:left="720" w:firstLine="697"/>
        <w:jc w:val="both"/>
        <w:rPr>
          <w:rFonts w:ascii="Arial" w:eastAsia="Arial" w:hAnsi="Arial" w:cs="Arial"/>
          <w:sz w:val="24"/>
          <w:szCs w:val="24"/>
        </w:rPr>
      </w:pPr>
      <w:r w:rsidRPr="00AC552B">
        <w:rPr>
          <w:rFonts w:ascii="Arial" w:eastAsia="Arial" w:hAnsi="Arial" w:cs="Arial"/>
          <w:sz w:val="24"/>
          <w:szCs w:val="24"/>
        </w:rPr>
        <w:t>CCS will expect Suppliers to be prepared to:</w:t>
      </w:r>
    </w:p>
    <w:p w:rsidR="00D652A1" w:rsidRPr="00AC552B" w:rsidRDefault="00D652A1" w:rsidP="00D652A1">
      <w:pPr>
        <w:shd w:val="clear" w:color="auto" w:fill="FFFFFF"/>
        <w:spacing w:after="0" w:line="240" w:lineRule="auto"/>
        <w:ind w:left="720"/>
        <w:jc w:val="both"/>
        <w:rPr>
          <w:rFonts w:ascii="Arial" w:eastAsia="Arial" w:hAnsi="Arial" w:cs="Arial"/>
          <w:sz w:val="24"/>
          <w:szCs w:val="24"/>
        </w:rPr>
      </w:pPr>
    </w:p>
    <w:p w:rsidR="00D652A1" w:rsidRPr="00AC552B" w:rsidRDefault="00D652A1" w:rsidP="002F7E5A">
      <w:pPr>
        <w:numPr>
          <w:ilvl w:val="0"/>
          <w:numId w:val="1"/>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provide delivery plans and reporting of impacts and performance of social value to buyers (e.g. method statements and KPIs), as may be required at call-off.</w:t>
      </w:r>
    </w:p>
    <w:p w:rsidR="00D652A1" w:rsidRPr="00AC552B" w:rsidRDefault="00D652A1" w:rsidP="002F7E5A">
      <w:pPr>
        <w:numPr>
          <w:ilvl w:val="0"/>
          <w:numId w:val="1"/>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provide delivery plans and reporting of impacts and performance of social value to CCS covering one or more call-off contracts throughout the life of this contract.</w:t>
      </w:r>
    </w:p>
    <w:p w:rsidR="00D652A1" w:rsidRPr="00AC552B" w:rsidRDefault="00D652A1" w:rsidP="002F7E5A">
      <w:pPr>
        <w:numPr>
          <w:ilvl w:val="0"/>
          <w:numId w:val="1"/>
        </w:numPr>
        <w:shd w:val="clear" w:color="auto" w:fill="FFFFFF"/>
        <w:spacing w:after="0"/>
        <w:ind w:left="2125" w:hanging="283"/>
        <w:jc w:val="both"/>
        <w:rPr>
          <w:rFonts w:ascii="Arial" w:eastAsia="Arial" w:hAnsi="Arial" w:cs="Arial"/>
          <w:sz w:val="24"/>
          <w:szCs w:val="24"/>
        </w:rPr>
      </w:pPr>
      <w:r w:rsidRPr="00AC552B">
        <w:rPr>
          <w:rFonts w:ascii="Arial" w:eastAsia="Arial" w:hAnsi="Arial" w:cs="Arial"/>
          <w:sz w:val="24"/>
          <w:szCs w:val="24"/>
        </w:rPr>
        <w:t>measure and report (when requested) the number, value and % of total contract spend of opportunities awarded to: SMEs, VCSEs, Mutuals.</w:t>
      </w:r>
    </w:p>
    <w:p w:rsidR="00D652A1" w:rsidRPr="00AC552B" w:rsidRDefault="00D652A1" w:rsidP="00D652A1">
      <w:pPr>
        <w:spacing w:before="240" w:after="240" w:line="240" w:lineRule="auto"/>
        <w:rPr>
          <w:rFonts w:ascii="Arial" w:eastAsia="Arial" w:hAnsi="Arial" w:cs="Arial"/>
          <w:sz w:val="24"/>
          <w:szCs w:val="24"/>
        </w:rPr>
      </w:pPr>
    </w:p>
    <w:p w:rsidR="00D652A1" w:rsidRPr="00684381" w:rsidRDefault="00D652A1" w:rsidP="00D652A1">
      <w:pPr>
        <w:shd w:val="clear" w:color="auto" w:fill="FFFFFF"/>
        <w:spacing w:after="160" w:line="240" w:lineRule="auto"/>
        <w:jc w:val="both"/>
        <w:rPr>
          <w:rFonts w:ascii="Arial" w:eastAsia="Arial" w:hAnsi="Arial" w:cs="Arial"/>
          <w:b/>
          <w:sz w:val="24"/>
          <w:szCs w:val="24"/>
        </w:rPr>
      </w:pPr>
    </w:p>
    <w:p w:rsidR="00D76198" w:rsidRDefault="00D76198">
      <w:pPr>
        <w:pBdr>
          <w:top w:val="nil"/>
          <w:left w:val="nil"/>
          <w:bottom w:val="nil"/>
          <w:right w:val="nil"/>
          <w:between w:val="nil"/>
        </w:pBdr>
        <w:tabs>
          <w:tab w:val="left" w:pos="1134"/>
        </w:tabs>
        <w:spacing w:before="120" w:after="120" w:line="240" w:lineRule="auto"/>
        <w:rPr>
          <w:rFonts w:ascii="Arial" w:eastAsia="Arial" w:hAnsi="Arial" w:cs="Arial"/>
          <w:highlight w:val="yellow"/>
        </w:rPr>
      </w:pPr>
    </w:p>
    <w:sectPr w:rsidR="00D76198">
      <w:headerReference w:type="default" r:id="rId25"/>
      <w:footerReference w:type="default" r:id="rId26"/>
      <w:pgSz w:w="11906" w:h="16838"/>
      <w:pgMar w:top="1440" w:right="1440" w:bottom="1440" w:left="1440" w:header="708" w:footer="708"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31C68" w:rsidRDefault="00931C68">
      <w:pPr>
        <w:spacing w:after="0" w:line="240" w:lineRule="auto"/>
      </w:pPr>
      <w:r>
        <w:separator/>
      </w:r>
    </w:p>
  </w:endnote>
  <w:endnote w:type="continuationSeparator" w:id="0">
    <w:p w:rsidR="00931C68" w:rsidRDefault="00931C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Noto Sans Symbols">
    <w:altName w:val="Times New Roman"/>
    <w:charset w:val="00"/>
    <w:family w:val="auto"/>
    <w:pitch w:val="default"/>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198" w:rsidRDefault="00D76198">
    <w:pPr>
      <w:tabs>
        <w:tab w:val="center" w:pos="4513"/>
        <w:tab w:val="right" w:pos="9026"/>
      </w:tabs>
      <w:spacing w:after="0"/>
      <w:jc w:val="both"/>
      <w:rPr>
        <w:color w:val="BFBFBF"/>
      </w:rPr>
    </w:pPr>
  </w:p>
  <w:p w:rsidR="00D76198" w:rsidRDefault="002F7E5A">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RM6193 -Schedule 1 (Specification) DRAFT</w:t>
    </w:r>
    <w:r>
      <w:rPr>
        <w:rFonts w:ascii="Arial" w:eastAsia="Arial" w:hAnsi="Arial" w:cs="Arial"/>
        <w:sz w:val="20"/>
        <w:szCs w:val="20"/>
      </w:rPr>
      <w:tab/>
      <w:t xml:space="preserve">                                           </w:t>
    </w:r>
  </w:p>
  <w:p w:rsidR="00D76198" w:rsidRDefault="002F7E5A">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1702F3">
      <w:rPr>
        <w:rFonts w:ascii="Arial" w:eastAsia="Arial" w:hAnsi="Arial" w:cs="Arial"/>
        <w:noProof/>
        <w:color w:val="000000"/>
        <w:sz w:val="20"/>
        <w:szCs w:val="20"/>
      </w:rPr>
      <w:t>1</w:t>
    </w:r>
    <w:r>
      <w:rPr>
        <w:rFonts w:ascii="Arial" w:eastAsia="Arial" w:hAnsi="Arial" w:cs="Arial"/>
        <w:color w:val="000000"/>
        <w:sz w:val="20"/>
        <w:szCs w:val="20"/>
      </w:rPr>
      <w:fldChar w:fldCharType="end"/>
    </w:r>
  </w:p>
  <w:p w:rsidR="00D76198" w:rsidRDefault="002F7E5A">
    <w:pPr>
      <w:spacing w:after="0" w:line="240" w:lineRule="auto"/>
      <w:jc w:val="both"/>
    </w:pPr>
    <w:r>
      <w:rPr>
        <w:rFonts w:ascii="Arial" w:eastAsia="Arial" w:hAnsi="Arial" w:cs="Arial"/>
        <w:sz w:val="20"/>
        <w:szCs w:val="20"/>
      </w:rPr>
      <w:t>Model Version: v</w:t>
    </w:r>
    <w:r>
      <w:t>0.1</w:t>
    </w:r>
    <w:r>
      <w:tab/>
    </w:r>
    <w:r>
      <w:tab/>
    </w:r>
    <w:r>
      <w:tab/>
    </w:r>
    <w:bookmarkStart w:id="11" w:name="bookmark=id.1t3h5sf" w:colFirst="0" w:colLast="0"/>
    <w:bookmarkEnd w:id="11"/>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31C68" w:rsidRDefault="00931C68">
      <w:pPr>
        <w:spacing w:after="0" w:line="240" w:lineRule="auto"/>
      </w:pPr>
      <w:r>
        <w:separator/>
      </w:r>
    </w:p>
  </w:footnote>
  <w:footnote w:type="continuationSeparator" w:id="0">
    <w:p w:rsidR="00931C68" w:rsidRDefault="00931C68">
      <w:pPr>
        <w:spacing w:after="0" w:line="240" w:lineRule="auto"/>
      </w:pPr>
      <w:r>
        <w:continuationSeparator/>
      </w:r>
    </w:p>
  </w:footnote>
  <w:footnote w:id="1">
    <w:p w:rsidR="00D652A1" w:rsidRDefault="00D652A1" w:rsidP="00D652A1">
      <w:pPr>
        <w:spacing w:after="0" w:line="240" w:lineRule="auto"/>
        <w:rPr>
          <w:sz w:val="20"/>
          <w:szCs w:val="20"/>
        </w:rPr>
      </w:pPr>
      <w:r>
        <w:rPr>
          <w:vertAlign w:val="superscript"/>
        </w:rPr>
        <w:footnoteRef/>
      </w:r>
      <w:r>
        <w:rPr>
          <w:sz w:val="20"/>
          <w:szCs w:val="20"/>
        </w:rPr>
        <w:t xml:space="preserve"> </w:t>
      </w:r>
      <w:hyperlink r:id="rId1">
        <w:r>
          <w:rPr>
            <w:color w:val="1155CC"/>
            <w:sz w:val="20"/>
            <w:szCs w:val="20"/>
            <w:u w:val="single"/>
          </w:rPr>
          <w:t>The Social Value Act</w:t>
        </w:r>
      </w:hyperlink>
      <w:r>
        <w:rPr>
          <w:sz w:val="20"/>
          <w:szCs w:val="20"/>
        </w:rPr>
        <w:t xml:space="preserve">; the </w:t>
      </w:r>
      <w:hyperlink r:id="rId2">
        <w:r>
          <w:rPr>
            <w:color w:val="1155CC"/>
            <w:sz w:val="20"/>
            <w:szCs w:val="20"/>
            <w:u w:val="single"/>
          </w:rPr>
          <w:t>Procurement Reform Scotland Act</w:t>
        </w:r>
      </w:hyperlink>
      <w:r>
        <w:rPr>
          <w:sz w:val="20"/>
          <w:szCs w:val="20"/>
        </w:rPr>
        <w:t xml:space="preserve"> and the guidance in the </w:t>
      </w:r>
      <w:hyperlink r:id="rId3">
        <w:r>
          <w:rPr>
            <w:color w:val="1155CC"/>
            <w:sz w:val="20"/>
            <w:szCs w:val="20"/>
            <w:u w:val="single"/>
          </w:rPr>
          <w:t>Welsh Community Benefits guidance</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D76198" w:rsidRDefault="002F7E5A">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 xml:space="preserve">Framework Schedule 1 (Specification) </w:t>
    </w:r>
  </w:p>
  <w:p w:rsidR="00D76198" w:rsidRDefault="002F7E5A">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r>
      <w:rPr>
        <w:rFonts w:ascii="Arial" w:eastAsia="Arial" w:hAnsi="Arial" w:cs="Arial"/>
        <w:color w:val="000000"/>
        <w:sz w:val="20"/>
        <w:szCs w:val="20"/>
      </w:rPr>
      <w:t xml:space="preserve">Crown Copyright </w:t>
    </w:r>
    <w:r>
      <w:rPr>
        <w:rFonts w:ascii="Arial" w:eastAsia="Arial" w:hAnsi="Arial" w:cs="Arial"/>
        <w:sz w:val="20"/>
        <w:szCs w:val="20"/>
      </w:rPr>
      <w:t>2020</w:t>
    </w:r>
  </w:p>
  <w:p w:rsidR="00D76198" w:rsidRDefault="00D76198">
    <w:pPr>
      <w:pBdr>
        <w:top w:val="nil"/>
        <w:left w:val="nil"/>
        <w:bottom w:val="nil"/>
        <w:right w:val="nil"/>
        <w:between w:val="nil"/>
      </w:pBdr>
      <w:tabs>
        <w:tab w:val="center" w:pos="4513"/>
        <w:tab w:val="right" w:pos="9026"/>
      </w:tabs>
      <w:spacing w:after="0" w:line="240" w:lineRule="auto"/>
      <w:rPr>
        <w:rFonts w:ascii="Arial" w:eastAsia="Arial" w:hAnsi="Arial" w:cs="Arial"/>
        <w:sz w:val="20"/>
        <w:szCs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A4265B"/>
    <w:multiLevelType w:val="multilevel"/>
    <w:tmpl w:val="60C6F950"/>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 w15:restartNumberingAfterBreak="0">
    <w:nsid w:val="055C542C"/>
    <w:multiLevelType w:val="multilevel"/>
    <w:tmpl w:val="A482A85E"/>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731" w:hanging="360"/>
      </w:pPr>
      <w:rPr>
        <w:rFonts w:ascii="Courier New" w:eastAsia="Courier New" w:hAnsi="Courier New" w:cs="Courier New"/>
      </w:rPr>
    </w:lvl>
    <w:lvl w:ilvl="2">
      <w:start w:val="1"/>
      <w:numFmt w:val="bullet"/>
      <w:lvlText w:val="▪"/>
      <w:lvlJc w:val="left"/>
      <w:pPr>
        <w:ind w:left="1451" w:hanging="360"/>
      </w:pPr>
      <w:rPr>
        <w:rFonts w:ascii="Noto Sans Symbols" w:eastAsia="Noto Sans Symbols" w:hAnsi="Noto Sans Symbols" w:cs="Noto Sans Symbols"/>
      </w:rPr>
    </w:lvl>
    <w:lvl w:ilvl="3">
      <w:start w:val="1"/>
      <w:numFmt w:val="bullet"/>
      <w:lvlText w:val="●"/>
      <w:lvlJc w:val="left"/>
      <w:pPr>
        <w:ind w:left="2171" w:hanging="360"/>
      </w:pPr>
      <w:rPr>
        <w:rFonts w:ascii="Noto Sans Symbols" w:eastAsia="Noto Sans Symbols" w:hAnsi="Noto Sans Symbols" w:cs="Noto Sans Symbols"/>
      </w:rPr>
    </w:lvl>
    <w:lvl w:ilvl="4">
      <w:start w:val="1"/>
      <w:numFmt w:val="bullet"/>
      <w:lvlText w:val="o"/>
      <w:lvlJc w:val="left"/>
      <w:pPr>
        <w:ind w:left="2891" w:hanging="360"/>
      </w:pPr>
      <w:rPr>
        <w:rFonts w:ascii="Courier New" w:eastAsia="Courier New" w:hAnsi="Courier New" w:cs="Courier New"/>
      </w:rPr>
    </w:lvl>
    <w:lvl w:ilvl="5">
      <w:start w:val="1"/>
      <w:numFmt w:val="bullet"/>
      <w:lvlText w:val="▪"/>
      <w:lvlJc w:val="left"/>
      <w:pPr>
        <w:ind w:left="3611" w:hanging="360"/>
      </w:pPr>
      <w:rPr>
        <w:rFonts w:ascii="Noto Sans Symbols" w:eastAsia="Noto Sans Symbols" w:hAnsi="Noto Sans Symbols" w:cs="Noto Sans Symbols"/>
      </w:rPr>
    </w:lvl>
    <w:lvl w:ilvl="6">
      <w:start w:val="1"/>
      <w:numFmt w:val="bullet"/>
      <w:lvlText w:val="●"/>
      <w:lvlJc w:val="left"/>
      <w:pPr>
        <w:ind w:left="4331" w:hanging="360"/>
      </w:pPr>
      <w:rPr>
        <w:rFonts w:ascii="Noto Sans Symbols" w:eastAsia="Noto Sans Symbols" w:hAnsi="Noto Sans Symbols" w:cs="Noto Sans Symbols"/>
      </w:rPr>
    </w:lvl>
    <w:lvl w:ilvl="7">
      <w:start w:val="1"/>
      <w:numFmt w:val="bullet"/>
      <w:lvlText w:val="o"/>
      <w:lvlJc w:val="left"/>
      <w:pPr>
        <w:ind w:left="5051" w:hanging="360"/>
      </w:pPr>
      <w:rPr>
        <w:rFonts w:ascii="Courier New" w:eastAsia="Courier New" w:hAnsi="Courier New" w:cs="Courier New"/>
      </w:rPr>
    </w:lvl>
    <w:lvl w:ilvl="8">
      <w:start w:val="1"/>
      <w:numFmt w:val="bullet"/>
      <w:lvlText w:val="▪"/>
      <w:lvlJc w:val="left"/>
      <w:pPr>
        <w:ind w:left="5771" w:hanging="360"/>
      </w:pPr>
      <w:rPr>
        <w:rFonts w:ascii="Noto Sans Symbols" w:eastAsia="Noto Sans Symbols" w:hAnsi="Noto Sans Symbols" w:cs="Noto Sans Symbols"/>
      </w:rPr>
    </w:lvl>
  </w:abstractNum>
  <w:abstractNum w:abstractNumId="2" w15:restartNumberingAfterBreak="0">
    <w:nsid w:val="0E3A6EB7"/>
    <w:multiLevelType w:val="multilevel"/>
    <w:tmpl w:val="7D384C66"/>
    <w:lvl w:ilvl="0">
      <w:start w:val="1"/>
      <w:numFmt w:val="bullet"/>
      <w:lvlText w:val="●"/>
      <w:lvlJc w:val="left"/>
      <w:pPr>
        <w:ind w:left="2160" w:hanging="360"/>
      </w:pPr>
      <w:rPr>
        <w:u w:val="none"/>
      </w:rPr>
    </w:lvl>
    <w:lvl w:ilvl="1">
      <w:start w:val="1"/>
      <w:numFmt w:val="bullet"/>
      <w:lvlText w:val="○"/>
      <w:lvlJc w:val="left"/>
      <w:pPr>
        <w:ind w:left="2880" w:hanging="360"/>
      </w:pPr>
      <w:rPr>
        <w:u w:val="none"/>
      </w:rPr>
    </w:lvl>
    <w:lvl w:ilvl="2">
      <w:start w:val="1"/>
      <w:numFmt w:val="bullet"/>
      <w:lvlText w:val="■"/>
      <w:lvlJc w:val="left"/>
      <w:pPr>
        <w:ind w:left="3600" w:hanging="360"/>
      </w:pPr>
      <w:rPr>
        <w:u w:val="none"/>
      </w:rPr>
    </w:lvl>
    <w:lvl w:ilvl="3">
      <w:start w:val="1"/>
      <w:numFmt w:val="bullet"/>
      <w:lvlText w:val="●"/>
      <w:lvlJc w:val="left"/>
      <w:pPr>
        <w:ind w:left="4320" w:hanging="360"/>
      </w:pPr>
      <w:rPr>
        <w:u w:val="none"/>
      </w:rPr>
    </w:lvl>
    <w:lvl w:ilvl="4">
      <w:start w:val="1"/>
      <w:numFmt w:val="bullet"/>
      <w:lvlText w:val="○"/>
      <w:lvlJc w:val="left"/>
      <w:pPr>
        <w:ind w:left="5040" w:hanging="360"/>
      </w:pPr>
      <w:rPr>
        <w:u w:val="none"/>
      </w:rPr>
    </w:lvl>
    <w:lvl w:ilvl="5">
      <w:start w:val="1"/>
      <w:numFmt w:val="bullet"/>
      <w:lvlText w:val="■"/>
      <w:lvlJc w:val="left"/>
      <w:pPr>
        <w:ind w:left="5760" w:hanging="360"/>
      </w:pPr>
      <w:rPr>
        <w:u w:val="none"/>
      </w:rPr>
    </w:lvl>
    <w:lvl w:ilvl="6">
      <w:start w:val="1"/>
      <w:numFmt w:val="bullet"/>
      <w:lvlText w:val="●"/>
      <w:lvlJc w:val="left"/>
      <w:pPr>
        <w:ind w:left="6480" w:hanging="360"/>
      </w:pPr>
      <w:rPr>
        <w:u w:val="none"/>
      </w:rPr>
    </w:lvl>
    <w:lvl w:ilvl="7">
      <w:start w:val="1"/>
      <w:numFmt w:val="bullet"/>
      <w:lvlText w:val="○"/>
      <w:lvlJc w:val="left"/>
      <w:pPr>
        <w:ind w:left="7200" w:hanging="360"/>
      </w:pPr>
      <w:rPr>
        <w:u w:val="none"/>
      </w:rPr>
    </w:lvl>
    <w:lvl w:ilvl="8">
      <w:start w:val="1"/>
      <w:numFmt w:val="bullet"/>
      <w:lvlText w:val="■"/>
      <w:lvlJc w:val="left"/>
      <w:pPr>
        <w:ind w:left="7920" w:hanging="360"/>
      </w:pPr>
      <w:rPr>
        <w:u w:val="none"/>
      </w:rPr>
    </w:lvl>
  </w:abstractNum>
  <w:abstractNum w:abstractNumId="3" w15:restartNumberingAfterBreak="0">
    <w:nsid w:val="0F810605"/>
    <w:multiLevelType w:val="multilevel"/>
    <w:tmpl w:val="1F4E35EA"/>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4" w15:restartNumberingAfterBreak="0">
    <w:nsid w:val="117B41B3"/>
    <w:multiLevelType w:val="multilevel"/>
    <w:tmpl w:val="72E8B396"/>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668" w:hanging="360"/>
      </w:pPr>
      <w:rPr>
        <w:rFonts w:ascii="Courier New" w:eastAsia="Courier New" w:hAnsi="Courier New" w:cs="Courier New"/>
      </w:rPr>
    </w:lvl>
    <w:lvl w:ilvl="2">
      <w:start w:val="1"/>
      <w:numFmt w:val="bullet"/>
      <w:lvlText w:val="▪"/>
      <w:lvlJc w:val="left"/>
      <w:pPr>
        <w:ind w:left="1388" w:hanging="360"/>
      </w:pPr>
      <w:rPr>
        <w:rFonts w:ascii="Noto Sans Symbols" w:eastAsia="Noto Sans Symbols" w:hAnsi="Noto Sans Symbols" w:cs="Noto Sans Symbols"/>
      </w:rPr>
    </w:lvl>
    <w:lvl w:ilvl="3">
      <w:start w:val="1"/>
      <w:numFmt w:val="bullet"/>
      <w:lvlText w:val="●"/>
      <w:lvlJc w:val="left"/>
      <w:pPr>
        <w:ind w:left="2108" w:hanging="360"/>
      </w:pPr>
      <w:rPr>
        <w:rFonts w:ascii="Noto Sans Symbols" w:eastAsia="Noto Sans Symbols" w:hAnsi="Noto Sans Symbols" w:cs="Noto Sans Symbols"/>
      </w:rPr>
    </w:lvl>
    <w:lvl w:ilvl="4">
      <w:start w:val="1"/>
      <w:numFmt w:val="bullet"/>
      <w:lvlText w:val="o"/>
      <w:lvlJc w:val="left"/>
      <w:pPr>
        <w:ind w:left="2828" w:hanging="360"/>
      </w:pPr>
      <w:rPr>
        <w:rFonts w:ascii="Courier New" w:eastAsia="Courier New" w:hAnsi="Courier New" w:cs="Courier New"/>
      </w:rPr>
    </w:lvl>
    <w:lvl w:ilvl="5">
      <w:start w:val="1"/>
      <w:numFmt w:val="bullet"/>
      <w:lvlText w:val="▪"/>
      <w:lvlJc w:val="left"/>
      <w:pPr>
        <w:ind w:left="3548" w:hanging="360"/>
      </w:pPr>
      <w:rPr>
        <w:rFonts w:ascii="Noto Sans Symbols" w:eastAsia="Noto Sans Symbols" w:hAnsi="Noto Sans Symbols" w:cs="Noto Sans Symbols"/>
      </w:rPr>
    </w:lvl>
    <w:lvl w:ilvl="6">
      <w:start w:val="1"/>
      <w:numFmt w:val="bullet"/>
      <w:lvlText w:val="●"/>
      <w:lvlJc w:val="left"/>
      <w:pPr>
        <w:ind w:left="4268" w:hanging="360"/>
      </w:pPr>
      <w:rPr>
        <w:rFonts w:ascii="Noto Sans Symbols" w:eastAsia="Noto Sans Symbols" w:hAnsi="Noto Sans Symbols" w:cs="Noto Sans Symbols"/>
      </w:rPr>
    </w:lvl>
    <w:lvl w:ilvl="7">
      <w:start w:val="1"/>
      <w:numFmt w:val="bullet"/>
      <w:lvlText w:val="o"/>
      <w:lvlJc w:val="left"/>
      <w:pPr>
        <w:ind w:left="4988" w:hanging="360"/>
      </w:pPr>
      <w:rPr>
        <w:rFonts w:ascii="Courier New" w:eastAsia="Courier New" w:hAnsi="Courier New" w:cs="Courier New"/>
      </w:rPr>
    </w:lvl>
    <w:lvl w:ilvl="8">
      <w:start w:val="1"/>
      <w:numFmt w:val="bullet"/>
      <w:lvlText w:val="▪"/>
      <w:lvlJc w:val="left"/>
      <w:pPr>
        <w:ind w:left="5708" w:hanging="360"/>
      </w:pPr>
      <w:rPr>
        <w:rFonts w:ascii="Noto Sans Symbols" w:eastAsia="Noto Sans Symbols" w:hAnsi="Noto Sans Symbols" w:cs="Noto Sans Symbols"/>
      </w:rPr>
    </w:lvl>
  </w:abstractNum>
  <w:abstractNum w:abstractNumId="5" w15:restartNumberingAfterBreak="0">
    <w:nsid w:val="15353FFE"/>
    <w:multiLevelType w:val="multilevel"/>
    <w:tmpl w:val="683EA89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6" w15:restartNumberingAfterBreak="0">
    <w:nsid w:val="16155447"/>
    <w:multiLevelType w:val="multilevel"/>
    <w:tmpl w:val="B876187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7" w15:restartNumberingAfterBreak="0">
    <w:nsid w:val="17263A1B"/>
    <w:multiLevelType w:val="multilevel"/>
    <w:tmpl w:val="D062DFCE"/>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15:restartNumberingAfterBreak="0">
    <w:nsid w:val="2FB749D0"/>
    <w:multiLevelType w:val="multilevel"/>
    <w:tmpl w:val="EE7CB094"/>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9" w15:restartNumberingAfterBreak="0">
    <w:nsid w:val="30210E48"/>
    <w:multiLevelType w:val="multilevel"/>
    <w:tmpl w:val="1FEE2DF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15:restartNumberingAfterBreak="0">
    <w:nsid w:val="33CD78C9"/>
    <w:multiLevelType w:val="multilevel"/>
    <w:tmpl w:val="1D5A7D0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668" w:hanging="360"/>
      </w:pPr>
      <w:rPr>
        <w:rFonts w:ascii="Courier New" w:eastAsia="Courier New" w:hAnsi="Courier New" w:cs="Courier New"/>
      </w:rPr>
    </w:lvl>
    <w:lvl w:ilvl="2">
      <w:start w:val="1"/>
      <w:numFmt w:val="bullet"/>
      <w:lvlText w:val="▪"/>
      <w:lvlJc w:val="left"/>
      <w:pPr>
        <w:ind w:left="1388" w:hanging="360"/>
      </w:pPr>
      <w:rPr>
        <w:rFonts w:ascii="Noto Sans Symbols" w:eastAsia="Noto Sans Symbols" w:hAnsi="Noto Sans Symbols" w:cs="Noto Sans Symbols"/>
      </w:rPr>
    </w:lvl>
    <w:lvl w:ilvl="3">
      <w:start w:val="1"/>
      <w:numFmt w:val="bullet"/>
      <w:lvlText w:val="●"/>
      <w:lvlJc w:val="left"/>
      <w:pPr>
        <w:ind w:left="2108" w:hanging="360"/>
      </w:pPr>
      <w:rPr>
        <w:rFonts w:ascii="Noto Sans Symbols" w:eastAsia="Noto Sans Symbols" w:hAnsi="Noto Sans Symbols" w:cs="Noto Sans Symbols"/>
      </w:rPr>
    </w:lvl>
    <w:lvl w:ilvl="4">
      <w:start w:val="1"/>
      <w:numFmt w:val="bullet"/>
      <w:lvlText w:val="o"/>
      <w:lvlJc w:val="left"/>
      <w:pPr>
        <w:ind w:left="2828" w:hanging="360"/>
      </w:pPr>
      <w:rPr>
        <w:rFonts w:ascii="Courier New" w:eastAsia="Courier New" w:hAnsi="Courier New" w:cs="Courier New"/>
      </w:rPr>
    </w:lvl>
    <w:lvl w:ilvl="5">
      <w:start w:val="1"/>
      <w:numFmt w:val="bullet"/>
      <w:lvlText w:val="▪"/>
      <w:lvlJc w:val="left"/>
      <w:pPr>
        <w:ind w:left="3548" w:hanging="360"/>
      </w:pPr>
      <w:rPr>
        <w:rFonts w:ascii="Noto Sans Symbols" w:eastAsia="Noto Sans Symbols" w:hAnsi="Noto Sans Symbols" w:cs="Noto Sans Symbols"/>
      </w:rPr>
    </w:lvl>
    <w:lvl w:ilvl="6">
      <w:start w:val="1"/>
      <w:numFmt w:val="bullet"/>
      <w:lvlText w:val="●"/>
      <w:lvlJc w:val="left"/>
      <w:pPr>
        <w:ind w:left="4268" w:hanging="360"/>
      </w:pPr>
      <w:rPr>
        <w:rFonts w:ascii="Noto Sans Symbols" w:eastAsia="Noto Sans Symbols" w:hAnsi="Noto Sans Symbols" w:cs="Noto Sans Symbols"/>
      </w:rPr>
    </w:lvl>
    <w:lvl w:ilvl="7">
      <w:start w:val="1"/>
      <w:numFmt w:val="bullet"/>
      <w:lvlText w:val="o"/>
      <w:lvlJc w:val="left"/>
      <w:pPr>
        <w:ind w:left="4988" w:hanging="360"/>
      </w:pPr>
      <w:rPr>
        <w:rFonts w:ascii="Courier New" w:eastAsia="Courier New" w:hAnsi="Courier New" w:cs="Courier New"/>
      </w:rPr>
    </w:lvl>
    <w:lvl w:ilvl="8">
      <w:start w:val="1"/>
      <w:numFmt w:val="bullet"/>
      <w:lvlText w:val="▪"/>
      <w:lvlJc w:val="left"/>
      <w:pPr>
        <w:ind w:left="5708" w:hanging="360"/>
      </w:pPr>
      <w:rPr>
        <w:rFonts w:ascii="Noto Sans Symbols" w:eastAsia="Noto Sans Symbols" w:hAnsi="Noto Sans Symbols" w:cs="Noto Sans Symbols"/>
      </w:rPr>
    </w:lvl>
  </w:abstractNum>
  <w:abstractNum w:abstractNumId="11" w15:restartNumberingAfterBreak="0">
    <w:nsid w:val="39E12212"/>
    <w:multiLevelType w:val="multilevel"/>
    <w:tmpl w:val="66D092E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2" w15:restartNumberingAfterBreak="0">
    <w:nsid w:val="3D1624CA"/>
    <w:multiLevelType w:val="multilevel"/>
    <w:tmpl w:val="1E68D0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3" w15:restartNumberingAfterBreak="0">
    <w:nsid w:val="3D1E5622"/>
    <w:multiLevelType w:val="multilevel"/>
    <w:tmpl w:val="4CACB4D6"/>
    <w:lvl w:ilvl="0">
      <w:start w:val="1"/>
      <w:numFmt w:val="bullet"/>
      <w:lvlText w:val="●"/>
      <w:lvlJc w:val="left"/>
      <w:pPr>
        <w:ind w:left="1429" w:hanging="360"/>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14" w15:restartNumberingAfterBreak="0">
    <w:nsid w:val="42723E89"/>
    <w:multiLevelType w:val="multilevel"/>
    <w:tmpl w:val="B962836E"/>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5" w15:restartNumberingAfterBreak="0">
    <w:nsid w:val="43816F38"/>
    <w:multiLevelType w:val="multilevel"/>
    <w:tmpl w:val="09322BDC"/>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6" w15:restartNumberingAfterBreak="0">
    <w:nsid w:val="468E0B2F"/>
    <w:multiLevelType w:val="multilevel"/>
    <w:tmpl w:val="6E5E954C"/>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7" w15:restartNumberingAfterBreak="0">
    <w:nsid w:val="47D57AFE"/>
    <w:multiLevelType w:val="multilevel"/>
    <w:tmpl w:val="67DA77B8"/>
    <w:lvl w:ilvl="0">
      <w:start w:val="1"/>
      <w:numFmt w:val="bullet"/>
      <w:lvlText w:val="●"/>
      <w:lvlJc w:val="left"/>
      <w:pPr>
        <w:ind w:left="2212" w:hanging="360"/>
      </w:pPr>
      <w:rPr>
        <w:rFonts w:ascii="Noto Sans Symbols" w:eastAsia="Noto Sans Symbols" w:hAnsi="Noto Sans Symbols" w:cs="Noto Sans Symbols"/>
      </w:rPr>
    </w:lvl>
    <w:lvl w:ilvl="1">
      <w:start w:val="1"/>
      <w:numFmt w:val="bullet"/>
      <w:lvlText w:val="o"/>
      <w:lvlJc w:val="left"/>
      <w:pPr>
        <w:ind w:left="2932" w:hanging="360"/>
      </w:pPr>
      <w:rPr>
        <w:rFonts w:ascii="Courier New" w:eastAsia="Courier New" w:hAnsi="Courier New" w:cs="Courier New"/>
      </w:rPr>
    </w:lvl>
    <w:lvl w:ilvl="2">
      <w:start w:val="1"/>
      <w:numFmt w:val="bullet"/>
      <w:lvlText w:val="▪"/>
      <w:lvlJc w:val="left"/>
      <w:pPr>
        <w:ind w:left="3652" w:hanging="360"/>
      </w:pPr>
      <w:rPr>
        <w:rFonts w:ascii="Noto Sans Symbols" w:eastAsia="Noto Sans Symbols" w:hAnsi="Noto Sans Symbols" w:cs="Noto Sans Symbols"/>
      </w:rPr>
    </w:lvl>
    <w:lvl w:ilvl="3">
      <w:start w:val="1"/>
      <w:numFmt w:val="bullet"/>
      <w:lvlText w:val="●"/>
      <w:lvlJc w:val="left"/>
      <w:pPr>
        <w:ind w:left="4372" w:hanging="360"/>
      </w:pPr>
      <w:rPr>
        <w:rFonts w:ascii="Noto Sans Symbols" w:eastAsia="Noto Sans Symbols" w:hAnsi="Noto Sans Symbols" w:cs="Noto Sans Symbols"/>
      </w:rPr>
    </w:lvl>
    <w:lvl w:ilvl="4">
      <w:start w:val="1"/>
      <w:numFmt w:val="bullet"/>
      <w:lvlText w:val="o"/>
      <w:lvlJc w:val="left"/>
      <w:pPr>
        <w:ind w:left="5092" w:hanging="360"/>
      </w:pPr>
      <w:rPr>
        <w:rFonts w:ascii="Courier New" w:eastAsia="Courier New" w:hAnsi="Courier New" w:cs="Courier New"/>
      </w:rPr>
    </w:lvl>
    <w:lvl w:ilvl="5">
      <w:start w:val="1"/>
      <w:numFmt w:val="bullet"/>
      <w:lvlText w:val="▪"/>
      <w:lvlJc w:val="left"/>
      <w:pPr>
        <w:ind w:left="5812" w:hanging="360"/>
      </w:pPr>
      <w:rPr>
        <w:rFonts w:ascii="Noto Sans Symbols" w:eastAsia="Noto Sans Symbols" w:hAnsi="Noto Sans Symbols" w:cs="Noto Sans Symbols"/>
      </w:rPr>
    </w:lvl>
    <w:lvl w:ilvl="6">
      <w:start w:val="1"/>
      <w:numFmt w:val="bullet"/>
      <w:lvlText w:val="●"/>
      <w:lvlJc w:val="left"/>
      <w:pPr>
        <w:ind w:left="6532" w:hanging="360"/>
      </w:pPr>
      <w:rPr>
        <w:rFonts w:ascii="Noto Sans Symbols" w:eastAsia="Noto Sans Symbols" w:hAnsi="Noto Sans Symbols" w:cs="Noto Sans Symbols"/>
      </w:rPr>
    </w:lvl>
    <w:lvl w:ilvl="7">
      <w:start w:val="1"/>
      <w:numFmt w:val="bullet"/>
      <w:lvlText w:val="o"/>
      <w:lvlJc w:val="left"/>
      <w:pPr>
        <w:ind w:left="7252" w:hanging="360"/>
      </w:pPr>
      <w:rPr>
        <w:rFonts w:ascii="Courier New" w:eastAsia="Courier New" w:hAnsi="Courier New" w:cs="Courier New"/>
      </w:rPr>
    </w:lvl>
    <w:lvl w:ilvl="8">
      <w:start w:val="1"/>
      <w:numFmt w:val="bullet"/>
      <w:lvlText w:val="▪"/>
      <w:lvlJc w:val="left"/>
      <w:pPr>
        <w:ind w:left="7972" w:hanging="360"/>
      </w:pPr>
      <w:rPr>
        <w:rFonts w:ascii="Noto Sans Symbols" w:eastAsia="Noto Sans Symbols" w:hAnsi="Noto Sans Symbols" w:cs="Noto Sans Symbols"/>
      </w:rPr>
    </w:lvl>
  </w:abstractNum>
  <w:abstractNum w:abstractNumId="18" w15:restartNumberingAfterBreak="0">
    <w:nsid w:val="4DC71C6A"/>
    <w:multiLevelType w:val="multilevel"/>
    <w:tmpl w:val="769CA1D2"/>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19" w15:restartNumberingAfterBreak="0">
    <w:nsid w:val="580E645E"/>
    <w:multiLevelType w:val="multilevel"/>
    <w:tmpl w:val="4A02899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0" w15:restartNumberingAfterBreak="0">
    <w:nsid w:val="5D4F719E"/>
    <w:multiLevelType w:val="multilevel"/>
    <w:tmpl w:val="12C224C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1" w15:restartNumberingAfterBreak="0">
    <w:nsid w:val="5E2A36AE"/>
    <w:multiLevelType w:val="multilevel"/>
    <w:tmpl w:val="CF8CD752"/>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2" w15:restartNumberingAfterBreak="0">
    <w:nsid w:val="5F1325F7"/>
    <w:multiLevelType w:val="multilevel"/>
    <w:tmpl w:val="4CF49B5C"/>
    <w:lvl w:ilvl="0">
      <w:start w:val="1"/>
      <w:numFmt w:val="bullet"/>
      <w:lvlText w:val="o"/>
      <w:lvlJc w:val="left"/>
      <w:pPr>
        <w:ind w:left="2160" w:hanging="360"/>
      </w:pPr>
      <w:rPr>
        <w:rFonts w:ascii="Courier New" w:eastAsia="Courier New" w:hAnsi="Courier New" w:cs="Courier New"/>
      </w:rPr>
    </w:lvl>
    <w:lvl w:ilvl="1">
      <w:start w:val="1"/>
      <w:numFmt w:val="bullet"/>
      <w:lvlText w:val="o"/>
      <w:lvlJc w:val="left"/>
      <w:pPr>
        <w:ind w:left="2880" w:hanging="360"/>
      </w:pPr>
      <w:rPr>
        <w:rFonts w:ascii="Courier New" w:eastAsia="Courier New" w:hAnsi="Courier New" w:cs="Courier New"/>
      </w:rPr>
    </w:lvl>
    <w:lvl w:ilvl="2">
      <w:start w:val="1"/>
      <w:numFmt w:val="bullet"/>
      <w:lvlText w:val="▪"/>
      <w:lvlJc w:val="left"/>
      <w:pPr>
        <w:ind w:left="3600" w:hanging="360"/>
      </w:pPr>
      <w:rPr>
        <w:rFonts w:ascii="Noto Sans Symbols" w:eastAsia="Noto Sans Symbols" w:hAnsi="Noto Sans Symbols" w:cs="Noto Sans Symbols"/>
      </w:rPr>
    </w:lvl>
    <w:lvl w:ilvl="3">
      <w:start w:val="1"/>
      <w:numFmt w:val="bullet"/>
      <w:lvlText w:val="●"/>
      <w:lvlJc w:val="left"/>
      <w:pPr>
        <w:ind w:left="4320" w:hanging="360"/>
      </w:pPr>
      <w:rPr>
        <w:rFonts w:ascii="Noto Sans Symbols" w:eastAsia="Noto Sans Symbols" w:hAnsi="Noto Sans Symbols" w:cs="Noto Sans Symbols"/>
      </w:rPr>
    </w:lvl>
    <w:lvl w:ilvl="4">
      <w:start w:val="1"/>
      <w:numFmt w:val="bullet"/>
      <w:lvlText w:val="o"/>
      <w:lvlJc w:val="left"/>
      <w:pPr>
        <w:ind w:left="5040" w:hanging="360"/>
      </w:pPr>
      <w:rPr>
        <w:rFonts w:ascii="Courier New" w:eastAsia="Courier New" w:hAnsi="Courier New" w:cs="Courier New"/>
      </w:rPr>
    </w:lvl>
    <w:lvl w:ilvl="5">
      <w:start w:val="1"/>
      <w:numFmt w:val="bullet"/>
      <w:lvlText w:val="▪"/>
      <w:lvlJc w:val="left"/>
      <w:pPr>
        <w:ind w:left="5760" w:hanging="360"/>
      </w:pPr>
      <w:rPr>
        <w:rFonts w:ascii="Noto Sans Symbols" w:eastAsia="Noto Sans Symbols" w:hAnsi="Noto Sans Symbols" w:cs="Noto Sans Symbols"/>
      </w:rPr>
    </w:lvl>
    <w:lvl w:ilvl="6">
      <w:start w:val="1"/>
      <w:numFmt w:val="bullet"/>
      <w:lvlText w:val="●"/>
      <w:lvlJc w:val="left"/>
      <w:pPr>
        <w:ind w:left="6480" w:hanging="360"/>
      </w:pPr>
      <w:rPr>
        <w:rFonts w:ascii="Noto Sans Symbols" w:eastAsia="Noto Sans Symbols" w:hAnsi="Noto Sans Symbols" w:cs="Noto Sans Symbols"/>
      </w:rPr>
    </w:lvl>
    <w:lvl w:ilvl="7">
      <w:start w:val="1"/>
      <w:numFmt w:val="bullet"/>
      <w:lvlText w:val="o"/>
      <w:lvlJc w:val="left"/>
      <w:pPr>
        <w:ind w:left="7200" w:hanging="360"/>
      </w:pPr>
      <w:rPr>
        <w:rFonts w:ascii="Courier New" w:eastAsia="Courier New" w:hAnsi="Courier New" w:cs="Courier New"/>
      </w:rPr>
    </w:lvl>
    <w:lvl w:ilvl="8">
      <w:start w:val="1"/>
      <w:numFmt w:val="bullet"/>
      <w:lvlText w:val="▪"/>
      <w:lvlJc w:val="left"/>
      <w:pPr>
        <w:ind w:left="7920" w:hanging="360"/>
      </w:pPr>
      <w:rPr>
        <w:rFonts w:ascii="Noto Sans Symbols" w:eastAsia="Noto Sans Symbols" w:hAnsi="Noto Sans Symbols" w:cs="Noto Sans Symbols"/>
      </w:rPr>
    </w:lvl>
  </w:abstractNum>
  <w:abstractNum w:abstractNumId="23" w15:restartNumberingAfterBreak="0">
    <w:nsid w:val="61E841EE"/>
    <w:multiLevelType w:val="multilevel"/>
    <w:tmpl w:val="1A907E48"/>
    <w:lvl w:ilvl="0">
      <w:start w:val="1"/>
      <w:numFmt w:val="bullet"/>
      <w:lvlText w:val="●"/>
      <w:lvlJc w:val="left"/>
      <w:pPr>
        <w:ind w:left="1440" w:hanging="360"/>
      </w:pPr>
      <w:rPr>
        <w:rFonts w:ascii="Noto Sans Symbols" w:eastAsia="Noto Sans Symbols" w:hAnsi="Noto Sans Symbols" w:cs="Noto Sans Symbols"/>
      </w:rPr>
    </w:lvl>
    <w:lvl w:ilvl="1">
      <w:start w:val="1"/>
      <w:numFmt w:val="bullet"/>
      <w:lvlText w:val="o"/>
      <w:lvlJc w:val="left"/>
      <w:pPr>
        <w:ind w:left="668" w:hanging="360"/>
      </w:pPr>
      <w:rPr>
        <w:rFonts w:ascii="Courier New" w:eastAsia="Courier New" w:hAnsi="Courier New" w:cs="Courier New"/>
      </w:rPr>
    </w:lvl>
    <w:lvl w:ilvl="2">
      <w:start w:val="1"/>
      <w:numFmt w:val="bullet"/>
      <w:lvlText w:val="▪"/>
      <w:lvlJc w:val="left"/>
      <w:pPr>
        <w:ind w:left="1388" w:hanging="360"/>
      </w:pPr>
      <w:rPr>
        <w:rFonts w:ascii="Noto Sans Symbols" w:eastAsia="Noto Sans Symbols" w:hAnsi="Noto Sans Symbols" w:cs="Noto Sans Symbols"/>
      </w:rPr>
    </w:lvl>
    <w:lvl w:ilvl="3">
      <w:start w:val="1"/>
      <w:numFmt w:val="bullet"/>
      <w:lvlText w:val="●"/>
      <w:lvlJc w:val="left"/>
      <w:pPr>
        <w:ind w:left="2108" w:hanging="360"/>
      </w:pPr>
      <w:rPr>
        <w:rFonts w:ascii="Noto Sans Symbols" w:eastAsia="Noto Sans Symbols" w:hAnsi="Noto Sans Symbols" w:cs="Noto Sans Symbols"/>
      </w:rPr>
    </w:lvl>
    <w:lvl w:ilvl="4">
      <w:start w:val="1"/>
      <w:numFmt w:val="bullet"/>
      <w:lvlText w:val="o"/>
      <w:lvlJc w:val="left"/>
      <w:pPr>
        <w:ind w:left="2828" w:hanging="360"/>
      </w:pPr>
      <w:rPr>
        <w:rFonts w:ascii="Courier New" w:eastAsia="Courier New" w:hAnsi="Courier New" w:cs="Courier New"/>
      </w:rPr>
    </w:lvl>
    <w:lvl w:ilvl="5">
      <w:start w:val="1"/>
      <w:numFmt w:val="bullet"/>
      <w:lvlText w:val="▪"/>
      <w:lvlJc w:val="left"/>
      <w:pPr>
        <w:ind w:left="3548" w:hanging="360"/>
      </w:pPr>
      <w:rPr>
        <w:rFonts w:ascii="Noto Sans Symbols" w:eastAsia="Noto Sans Symbols" w:hAnsi="Noto Sans Symbols" w:cs="Noto Sans Symbols"/>
      </w:rPr>
    </w:lvl>
    <w:lvl w:ilvl="6">
      <w:start w:val="1"/>
      <w:numFmt w:val="bullet"/>
      <w:lvlText w:val="●"/>
      <w:lvlJc w:val="left"/>
      <w:pPr>
        <w:ind w:left="4268" w:hanging="360"/>
      </w:pPr>
      <w:rPr>
        <w:rFonts w:ascii="Noto Sans Symbols" w:eastAsia="Noto Sans Symbols" w:hAnsi="Noto Sans Symbols" w:cs="Noto Sans Symbols"/>
      </w:rPr>
    </w:lvl>
    <w:lvl w:ilvl="7">
      <w:start w:val="1"/>
      <w:numFmt w:val="bullet"/>
      <w:lvlText w:val="o"/>
      <w:lvlJc w:val="left"/>
      <w:pPr>
        <w:ind w:left="4988" w:hanging="360"/>
      </w:pPr>
      <w:rPr>
        <w:rFonts w:ascii="Courier New" w:eastAsia="Courier New" w:hAnsi="Courier New" w:cs="Courier New"/>
      </w:rPr>
    </w:lvl>
    <w:lvl w:ilvl="8">
      <w:start w:val="1"/>
      <w:numFmt w:val="bullet"/>
      <w:lvlText w:val="▪"/>
      <w:lvlJc w:val="left"/>
      <w:pPr>
        <w:ind w:left="5708" w:hanging="360"/>
      </w:pPr>
      <w:rPr>
        <w:rFonts w:ascii="Noto Sans Symbols" w:eastAsia="Noto Sans Symbols" w:hAnsi="Noto Sans Symbols" w:cs="Noto Sans Symbols"/>
      </w:rPr>
    </w:lvl>
  </w:abstractNum>
  <w:abstractNum w:abstractNumId="24" w15:restartNumberingAfterBreak="0">
    <w:nsid w:val="696217AB"/>
    <w:multiLevelType w:val="multilevel"/>
    <w:tmpl w:val="79B8EF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5" w15:restartNumberingAfterBreak="0">
    <w:nsid w:val="6F902C81"/>
    <w:multiLevelType w:val="multilevel"/>
    <w:tmpl w:val="0FF8FE5C"/>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26" w15:restartNumberingAfterBreak="0">
    <w:nsid w:val="70471C31"/>
    <w:multiLevelType w:val="multilevel"/>
    <w:tmpl w:val="716CA1E6"/>
    <w:lvl w:ilvl="0">
      <w:start w:val="1"/>
      <w:numFmt w:val="bullet"/>
      <w:lvlText w:val="●"/>
      <w:lvlJc w:val="left"/>
      <w:pPr>
        <w:ind w:left="1440" w:hanging="360"/>
      </w:pPr>
      <w:rPr>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lvlText w:val="○"/>
      <w:lvlJc w:val="left"/>
      <w:pPr>
        <w:ind w:left="4320" w:hanging="360"/>
      </w:pPr>
      <w:rPr>
        <w:u w:val="none"/>
      </w:rPr>
    </w:lvl>
    <w:lvl w:ilvl="5">
      <w:start w:val="1"/>
      <w:numFmt w:val="bullet"/>
      <w:lvlText w:val="■"/>
      <w:lvlJc w:val="left"/>
      <w:pPr>
        <w:ind w:left="5040" w:hanging="360"/>
      </w:pPr>
      <w:rPr>
        <w:u w:val="none"/>
      </w:rPr>
    </w:lvl>
    <w:lvl w:ilvl="6">
      <w:start w:val="1"/>
      <w:numFmt w:val="bullet"/>
      <w:lvlText w:val="●"/>
      <w:lvlJc w:val="left"/>
      <w:pPr>
        <w:ind w:left="5760" w:hanging="360"/>
      </w:pPr>
      <w:rPr>
        <w:u w:val="none"/>
      </w:rPr>
    </w:lvl>
    <w:lvl w:ilvl="7">
      <w:start w:val="1"/>
      <w:numFmt w:val="bullet"/>
      <w:lvlText w:val="○"/>
      <w:lvlJc w:val="left"/>
      <w:pPr>
        <w:ind w:left="6480" w:hanging="360"/>
      </w:pPr>
      <w:rPr>
        <w:u w:val="none"/>
      </w:rPr>
    </w:lvl>
    <w:lvl w:ilvl="8">
      <w:start w:val="1"/>
      <w:numFmt w:val="bullet"/>
      <w:lvlText w:val="■"/>
      <w:lvlJc w:val="left"/>
      <w:pPr>
        <w:ind w:left="7200" w:hanging="360"/>
      </w:pPr>
      <w:rPr>
        <w:u w:val="none"/>
      </w:rPr>
    </w:lvl>
  </w:abstractNum>
  <w:abstractNum w:abstractNumId="27" w15:restartNumberingAfterBreak="0">
    <w:nsid w:val="741C2B19"/>
    <w:multiLevelType w:val="multilevel"/>
    <w:tmpl w:val="3C027D70"/>
    <w:lvl w:ilvl="0">
      <w:start w:val="1"/>
      <w:numFmt w:val="bullet"/>
      <w:lvlText w:val="●"/>
      <w:lvlJc w:val="left"/>
      <w:pPr>
        <w:ind w:left="1080" w:hanging="360"/>
      </w:pPr>
      <w:rPr>
        <w:rFonts w:ascii="Noto Sans Symbols" w:eastAsia="Noto Sans Symbols" w:hAnsi="Noto Sans Symbols" w:cs="Noto Sans Symbols"/>
      </w:rPr>
    </w:lvl>
    <w:lvl w:ilvl="1">
      <w:start w:val="1"/>
      <w:numFmt w:val="bullet"/>
      <w:lvlText w:val="o"/>
      <w:lvlJc w:val="left"/>
      <w:pPr>
        <w:ind w:left="1800" w:hanging="360"/>
      </w:pPr>
      <w:rPr>
        <w:rFonts w:ascii="Courier New" w:eastAsia="Courier New" w:hAnsi="Courier New" w:cs="Courier New"/>
      </w:rPr>
    </w:lvl>
    <w:lvl w:ilvl="2">
      <w:start w:val="1"/>
      <w:numFmt w:val="bullet"/>
      <w:lvlText w:val="▪"/>
      <w:lvlJc w:val="left"/>
      <w:pPr>
        <w:ind w:left="2520" w:hanging="360"/>
      </w:pPr>
      <w:rPr>
        <w:rFonts w:ascii="Noto Sans Symbols" w:eastAsia="Noto Sans Symbols" w:hAnsi="Noto Sans Symbols" w:cs="Noto Sans Symbols"/>
      </w:rPr>
    </w:lvl>
    <w:lvl w:ilvl="3">
      <w:start w:val="1"/>
      <w:numFmt w:val="bullet"/>
      <w:lvlText w:val="●"/>
      <w:lvlJc w:val="left"/>
      <w:pPr>
        <w:ind w:left="3240" w:hanging="360"/>
      </w:pPr>
      <w:rPr>
        <w:rFonts w:ascii="Noto Sans Symbols" w:eastAsia="Noto Sans Symbols" w:hAnsi="Noto Sans Symbols" w:cs="Noto Sans Symbols"/>
      </w:rPr>
    </w:lvl>
    <w:lvl w:ilvl="4">
      <w:start w:val="1"/>
      <w:numFmt w:val="bullet"/>
      <w:lvlText w:val="o"/>
      <w:lvlJc w:val="left"/>
      <w:pPr>
        <w:ind w:left="3960" w:hanging="360"/>
      </w:pPr>
      <w:rPr>
        <w:rFonts w:ascii="Courier New" w:eastAsia="Courier New" w:hAnsi="Courier New" w:cs="Courier New"/>
      </w:rPr>
    </w:lvl>
    <w:lvl w:ilvl="5">
      <w:start w:val="1"/>
      <w:numFmt w:val="bullet"/>
      <w:lvlText w:val="▪"/>
      <w:lvlJc w:val="left"/>
      <w:pPr>
        <w:ind w:left="4680" w:hanging="360"/>
      </w:pPr>
      <w:rPr>
        <w:rFonts w:ascii="Noto Sans Symbols" w:eastAsia="Noto Sans Symbols" w:hAnsi="Noto Sans Symbols" w:cs="Noto Sans Symbols"/>
      </w:rPr>
    </w:lvl>
    <w:lvl w:ilvl="6">
      <w:start w:val="1"/>
      <w:numFmt w:val="bullet"/>
      <w:lvlText w:val="●"/>
      <w:lvlJc w:val="left"/>
      <w:pPr>
        <w:ind w:left="5400" w:hanging="360"/>
      </w:pPr>
      <w:rPr>
        <w:rFonts w:ascii="Noto Sans Symbols" w:eastAsia="Noto Sans Symbols" w:hAnsi="Noto Sans Symbols" w:cs="Noto Sans Symbols"/>
      </w:rPr>
    </w:lvl>
    <w:lvl w:ilvl="7">
      <w:start w:val="1"/>
      <w:numFmt w:val="bullet"/>
      <w:lvlText w:val="o"/>
      <w:lvlJc w:val="left"/>
      <w:pPr>
        <w:ind w:left="6120" w:hanging="360"/>
      </w:pPr>
      <w:rPr>
        <w:rFonts w:ascii="Courier New" w:eastAsia="Courier New" w:hAnsi="Courier New" w:cs="Courier New"/>
      </w:rPr>
    </w:lvl>
    <w:lvl w:ilvl="8">
      <w:start w:val="1"/>
      <w:numFmt w:val="bullet"/>
      <w:lvlText w:val="▪"/>
      <w:lvlJc w:val="left"/>
      <w:pPr>
        <w:ind w:left="6840" w:hanging="360"/>
      </w:pPr>
      <w:rPr>
        <w:rFonts w:ascii="Noto Sans Symbols" w:eastAsia="Noto Sans Symbols" w:hAnsi="Noto Sans Symbols" w:cs="Noto Sans Symbols"/>
      </w:rPr>
    </w:lvl>
  </w:abstractNum>
  <w:num w:numId="1">
    <w:abstractNumId w:val="11"/>
  </w:num>
  <w:num w:numId="2">
    <w:abstractNumId w:val="3"/>
  </w:num>
  <w:num w:numId="3">
    <w:abstractNumId w:val="23"/>
  </w:num>
  <w:num w:numId="4">
    <w:abstractNumId w:val="4"/>
  </w:num>
  <w:num w:numId="5">
    <w:abstractNumId w:val="2"/>
  </w:num>
  <w:num w:numId="6">
    <w:abstractNumId w:val="8"/>
  </w:num>
  <w:num w:numId="7">
    <w:abstractNumId w:val="20"/>
  </w:num>
  <w:num w:numId="8">
    <w:abstractNumId w:val="16"/>
  </w:num>
  <w:num w:numId="9">
    <w:abstractNumId w:val="27"/>
  </w:num>
  <w:num w:numId="10">
    <w:abstractNumId w:val="24"/>
  </w:num>
  <w:num w:numId="11">
    <w:abstractNumId w:val="25"/>
  </w:num>
  <w:num w:numId="12">
    <w:abstractNumId w:val="19"/>
  </w:num>
  <w:num w:numId="13">
    <w:abstractNumId w:val="5"/>
  </w:num>
  <w:num w:numId="14">
    <w:abstractNumId w:val="9"/>
  </w:num>
  <w:num w:numId="15">
    <w:abstractNumId w:val="22"/>
  </w:num>
  <w:num w:numId="16">
    <w:abstractNumId w:val="21"/>
  </w:num>
  <w:num w:numId="17">
    <w:abstractNumId w:val="1"/>
  </w:num>
  <w:num w:numId="18">
    <w:abstractNumId w:val="17"/>
  </w:num>
  <w:num w:numId="19">
    <w:abstractNumId w:val="10"/>
  </w:num>
  <w:num w:numId="20">
    <w:abstractNumId w:val="7"/>
  </w:num>
  <w:num w:numId="21">
    <w:abstractNumId w:val="18"/>
  </w:num>
  <w:num w:numId="22">
    <w:abstractNumId w:val="13"/>
  </w:num>
  <w:num w:numId="23">
    <w:abstractNumId w:val="0"/>
  </w:num>
  <w:num w:numId="24">
    <w:abstractNumId w:val="6"/>
  </w:num>
  <w:num w:numId="25">
    <w:abstractNumId w:val="14"/>
  </w:num>
  <w:num w:numId="26">
    <w:abstractNumId w:val="12"/>
  </w:num>
  <w:num w:numId="27">
    <w:abstractNumId w:val="26"/>
  </w:num>
  <w:num w:numId="28">
    <w:abstractNumId w:val="15"/>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76198"/>
    <w:rsid w:val="001702F3"/>
    <w:rsid w:val="002F7E5A"/>
    <w:rsid w:val="00931C68"/>
    <w:rsid w:val="00D652A1"/>
    <w:rsid w:val="00D7619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6E326A4-B721-48AF-9F83-7BD0C56C10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pPr>
      <w:keepNext/>
      <w:keepLines/>
      <w:spacing w:before="40" w:after="0"/>
      <w:outlineLvl w:val="1"/>
    </w:pPr>
    <w:rPr>
      <w:rFonts w:ascii="Cambria" w:eastAsia="Cambria" w:hAnsi="Cambria" w:cs="Cambria"/>
      <w:color w:val="366091"/>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next w:val="Normal"/>
    <w:pPr>
      <w:tabs>
        <w:tab w:val="left" w:pos="-5585"/>
      </w:tabs>
      <w:spacing w:after="120" w:line="240" w:lineRule="auto"/>
      <w:ind w:left="2665" w:hanging="964"/>
      <w:jc w:val="both"/>
      <w:outlineLvl w:val="4"/>
    </w:pPr>
    <w:rPr>
      <w:rFonts w:ascii="Arial" w:eastAsia="Arial" w:hAnsi="Arial" w:cs="Arial"/>
    </w:rPr>
  </w:style>
  <w:style w:type="paragraph" w:styleId="Heading6">
    <w:name w:val="heading 6"/>
    <w:basedOn w:val="Normal"/>
    <w:next w:val="Normal"/>
    <w:pPr>
      <w:tabs>
        <w:tab w:val="left" w:pos="-8987"/>
        <w:tab w:val="left" w:pos="-8420"/>
      </w:tabs>
      <w:spacing w:after="120" w:line="240" w:lineRule="auto"/>
      <w:ind w:left="2665" w:hanging="964"/>
      <w:jc w:val="both"/>
      <w:outlineLvl w:val="5"/>
    </w:pPr>
    <w:rPr>
      <w:rFonts w:ascii="Arial" w:eastAsia="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table" w:customStyle="1" w:styleId="a5">
    <w:basedOn w:val="TableNormal"/>
    <w:tblPr>
      <w:tblStyleRowBandSize w:val="1"/>
      <w:tblStyleColBandSize w:val="1"/>
      <w:tblCellMar>
        <w:top w:w="100" w:type="dxa"/>
        <w:left w:w="100" w:type="dxa"/>
        <w:bottom w:w="100" w:type="dxa"/>
        <w:right w:w="100" w:type="dxa"/>
      </w:tblCellMar>
    </w:tblPr>
  </w:style>
  <w:style w:type="table" w:customStyle="1" w:styleId="a6">
    <w:basedOn w:val="TableNormal"/>
    <w:tblPr>
      <w:tblStyleRowBandSize w:val="1"/>
      <w:tblStyleColBandSize w:val="1"/>
      <w:tblCellMar>
        <w:top w:w="100" w:type="dxa"/>
        <w:left w:w="100" w:type="dxa"/>
        <w:bottom w:w="100" w:type="dxa"/>
        <w:right w:w="100" w:type="dxa"/>
      </w:tblCellMar>
    </w:tblPr>
  </w:style>
  <w:style w:type="table" w:customStyle="1" w:styleId="a7">
    <w:basedOn w:val="TableNormal"/>
    <w:tblPr>
      <w:tblStyleRowBandSize w:val="1"/>
      <w:tblStyleColBandSize w:val="1"/>
      <w:tblCellMar>
        <w:top w:w="100" w:type="dxa"/>
        <w:left w:w="100" w:type="dxa"/>
        <w:bottom w:w="100" w:type="dxa"/>
        <w:right w:w="100" w:type="dxa"/>
      </w:tblCellMar>
    </w:tbl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100" w:type="dxa"/>
        <w:left w:w="100" w:type="dxa"/>
        <w:bottom w:w="100" w:type="dxa"/>
        <w:right w:w="100"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ListParagraph">
    <w:name w:val="List Paragraph"/>
    <w:basedOn w:val="Normal"/>
    <w:uiPriority w:val="34"/>
    <w:qFormat/>
    <w:rsid w:val="007C4F80"/>
    <w:pPr>
      <w:ind w:left="720"/>
      <w:contextualSpacing/>
    </w:pPr>
  </w:style>
  <w:style w:type="table" w:customStyle="1" w:styleId="ab">
    <w:basedOn w:val="TableNormal"/>
    <w:tblPr>
      <w:tblStyleRowBandSize w:val="1"/>
      <w:tblStyleColBandSize w:val="1"/>
      <w:tblCellMar>
        <w:top w:w="100" w:type="dxa"/>
        <w:left w:w="100" w:type="dxa"/>
        <w:bottom w:w="100" w:type="dxa"/>
        <w:right w:w="100" w:type="dxa"/>
      </w:tblCellMar>
    </w:tblPr>
  </w:style>
  <w:style w:type="table" w:customStyle="1" w:styleId="ac">
    <w:basedOn w:val="TableNormal"/>
    <w:tblPr>
      <w:tblStyleRowBandSize w:val="1"/>
      <w:tblStyleColBandSize w:val="1"/>
      <w:tblCellMar>
        <w:top w:w="100" w:type="dxa"/>
        <w:left w:w="100" w:type="dxa"/>
        <w:bottom w:w="100" w:type="dxa"/>
        <w:right w:w="100" w:type="dxa"/>
      </w:tblCellMar>
    </w:tblPr>
  </w:style>
  <w:style w:type="table" w:customStyle="1" w:styleId="ad">
    <w:basedOn w:val="TableNormal"/>
    <w:tblPr>
      <w:tblStyleRowBandSize w:val="1"/>
      <w:tblStyleColBandSize w:val="1"/>
      <w:tblCellMar>
        <w:top w:w="100" w:type="dxa"/>
        <w:left w:w="100" w:type="dxa"/>
        <w:bottom w:w="100" w:type="dxa"/>
        <w:right w:w="100" w:type="dxa"/>
      </w:tblCellMar>
    </w:tblPr>
  </w:style>
  <w:style w:type="table" w:customStyle="1" w:styleId="ae">
    <w:basedOn w:val="TableNormal"/>
    <w:tblPr>
      <w:tblStyleRowBandSize w:val="1"/>
      <w:tblStyleColBandSize w:val="1"/>
      <w:tblCellMar>
        <w:top w:w="100" w:type="dxa"/>
        <w:left w:w="100" w:type="dxa"/>
        <w:bottom w:w="100" w:type="dxa"/>
        <w:right w:w="100" w:type="dxa"/>
      </w:tblCellMar>
    </w:tblPr>
  </w:style>
  <w:style w:type="table" w:customStyle="1" w:styleId="af">
    <w:basedOn w:val="TableNormal"/>
    <w:tblPr>
      <w:tblStyleRowBandSize w:val="1"/>
      <w:tblStyleColBandSize w:val="1"/>
      <w:tblCellMar>
        <w:top w:w="100" w:type="dxa"/>
        <w:left w:w="100" w:type="dxa"/>
        <w:bottom w:w="100" w:type="dxa"/>
        <w:right w:w="100" w:type="dxa"/>
      </w:tblCellMar>
    </w:tblPr>
  </w:style>
  <w:style w:type="table" w:customStyle="1" w:styleId="af0">
    <w:basedOn w:val="TableNormal"/>
    <w:tblPr>
      <w:tblStyleRowBandSize w:val="1"/>
      <w:tblStyleColBandSize w:val="1"/>
      <w:tblCellMar>
        <w:top w:w="100" w:type="dxa"/>
        <w:left w:w="100" w:type="dxa"/>
        <w:bottom w:w="100" w:type="dxa"/>
        <w:right w:w="100" w:type="dxa"/>
      </w:tblCellMar>
    </w:tblPr>
  </w:style>
  <w:style w:type="table" w:customStyle="1" w:styleId="af1">
    <w:basedOn w:val="TableNormal"/>
    <w:tblPr>
      <w:tblStyleRowBandSize w:val="1"/>
      <w:tblStyleColBandSize w:val="1"/>
      <w:tblCellMar>
        <w:top w:w="100" w:type="dxa"/>
        <w:left w:w="100" w:type="dxa"/>
        <w:bottom w:w="100" w:type="dxa"/>
        <w:right w:w="100" w:type="dxa"/>
      </w:tblCellMar>
    </w:tblPr>
  </w:style>
  <w:style w:type="table" w:customStyle="1" w:styleId="af2">
    <w:basedOn w:val="TableNormal"/>
    <w:tblPr>
      <w:tblStyleRowBandSize w:val="1"/>
      <w:tblStyleColBandSize w:val="1"/>
      <w:tblCellMar>
        <w:top w:w="100" w:type="dxa"/>
        <w:left w:w="100" w:type="dxa"/>
        <w:bottom w:w="100" w:type="dxa"/>
        <w:right w:w="100" w:type="dxa"/>
      </w:tblCellMar>
    </w:tblPr>
  </w:style>
  <w:style w:type="table" w:customStyle="1" w:styleId="af3">
    <w:basedOn w:val="TableNormal"/>
    <w:tblPr>
      <w:tblStyleRowBandSize w:val="1"/>
      <w:tblStyleColBandSize w:val="1"/>
      <w:tblCellMar>
        <w:top w:w="100" w:type="dxa"/>
        <w:left w:w="100" w:type="dxa"/>
        <w:bottom w:w="100" w:type="dxa"/>
        <w:right w:w="100" w:type="dxa"/>
      </w:tblCellMar>
    </w:tblPr>
  </w:style>
  <w:style w:type="table" w:customStyle="1" w:styleId="af4">
    <w:basedOn w:val="TableNormal"/>
    <w:tblPr>
      <w:tblStyleRowBandSize w:val="1"/>
      <w:tblStyleColBandSize w:val="1"/>
      <w:tblCellMar>
        <w:top w:w="100" w:type="dxa"/>
        <w:left w:w="100" w:type="dxa"/>
        <w:bottom w:w="100" w:type="dxa"/>
        <w:right w:w="100" w:type="dxa"/>
      </w:tblCellMar>
    </w:tblPr>
  </w:style>
  <w:style w:type="table" w:customStyle="1" w:styleId="af5">
    <w:basedOn w:val="TableNormal"/>
    <w:tblPr>
      <w:tblStyleRowBandSize w:val="1"/>
      <w:tblStyleColBandSize w:val="1"/>
      <w:tblCellMar>
        <w:top w:w="100" w:type="dxa"/>
        <w:left w:w="100" w:type="dxa"/>
        <w:bottom w:w="100" w:type="dxa"/>
        <w:right w:w="100" w:type="dxa"/>
      </w:tblCellMar>
    </w:tblPr>
  </w:style>
  <w:style w:type="table" w:customStyle="1" w:styleId="af6">
    <w:basedOn w:val="TableNormal"/>
    <w:tblPr>
      <w:tblStyleRowBandSize w:val="1"/>
      <w:tblStyleColBandSize w:val="1"/>
      <w:tblCellMar>
        <w:top w:w="100" w:type="dxa"/>
        <w:left w:w="100" w:type="dxa"/>
        <w:bottom w:w="100" w:type="dxa"/>
        <w:right w:w="100" w:type="dxa"/>
      </w:tblCellMar>
    </w:tblPr>
  </w:style>
  <w:style w:type="paragraph" w:styleId="Header">
    <w:name w:val="header"/>
    <w:basedOn w:val="Normal"/>
    <w:link w:val="HeaderChar"/>
    <w:uiPriority w:val="99"/>
    <w:unhideWhenUsed/>
    <w:rsid w:val="001702F3"/>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02F3"/>
  </w:style>
  <w:style w:type="paragraph" w:styleId="Footer">
    <w:name w:val="footer"/>
    <w:basedOn w:val="Normal"/>
    <w:link w:val="FooterChar"/>
    <w:uiPriority w:val="99"/>
    <w:unhideWhenUsed/>
    <w:rsid w:val="001702F3"/>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02F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yperlink" Target="http://ec.europa.eu/environment/gpp/eu_gpp_criteria_en.htm" TargetMode="External"/><Relationship Id="rId13" Type="http://schemas.openxmlformats.org/officeDocument/2006/relationships/hyperlink" Target="https://www.gov.uk/government/publications/security-policy-framework" TargetMode="External"/><Relationship Id="rId18" Type="http://schemas.openxmlformats.org/officeDocument/2006/relationships/hyperlink" Target="https://www.gov.uk/government/publications/government-digital-strategy" TargetMode="External"/><Relationship Id="rId26" Type="http://schemas.openxmlformats.org/officeDocument/2006/relationships/footer" Target="footer1.xml"/><Relationship Id="rId3" Type="http://schemas.openxmlformats.org/officeDocument/2006/relationships/styles" Target="styles.xml"/><Relationship Id="rId21" Type="http://schemas.openxmlformats.org/officeDocument/2006/relationships/hyperlink" Target="https://www.ncsc.gov.uk/guidance/penetration-testing" TargetMode="External"/><Relationship Id="rId7" Type="http://schemas.openxmlformats.org/officeDocument/2006/relationships/endnotes" Target="endnotes.xml"/><Relationship Id="rId12" Type="http://schemas.openxmlformats.org/officeDocument/2006/relationships/hyperlink" Target="https://www.gov.uk/government/publications/technology-code-of-practice/technology-code-of-practice" TargetMode="External"/><Relationship Id="rId17" Type="http://schemas.openxmlformats.org/officeDocument/2006/relationships/hyperlink" Target="https://www.gov.uk/government/consultations/supplier-standard-for-digital-and-technology-service-providers/supplier-standard-for-digital-and-technology-service-providers" TargetMode="External"/><Relationship Id="rId25"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hyperlink" Target="https://www.gov.uk/government/publications/cyber-essentials-scheme-overview" TargetMode="External"/><Relationship Id="rId20" Type="http://schemas.openxmlformats.org/officeDocument/2006/relationships/hyperlink" Target="https://www.ncsc.gov.uk/information/using-check-provid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gov.uk/government/publications/open-standards-for-government" TargetMode="External"/><Relationship Id="rId24" Type="http://schemas.openxmlformats.org/officeDocument/2006/relationships/hyperlink" Target="https://www.gov.uk/government/publications/25-year-environment-plan" TargetMode="External"/><Relationship Id="rId5" Type="http://schemas.openxmlformats.org/officeDocument/2006/relationships/webSettings" Target="webSettings.xml"/><Relationship Id="rId15" Type="http://schemas.openxmlformats.org/officeDocument/2006/relationships/hyperlink" Target="https://www.gov.uk/government/publications/cyber-essentials-scheme-overview" TargetMode="External"/><Relationship Id="rId23" Type="http://schemas.openxmlformats.org/officeDocument/2006/relationships/hyperlink" Target="https://www.gov.uk/government/publications/supplier-code-of-conduct" TargetMode="External"/><Relationship Id="rId28" Type="http://schemas.openxmlformats.org/officeDocument/2006/relationships/theme" Target="theme/theme1.xml"/><Relationship Id="rId10" Type="http://schemas.openxmlformats.org/officeDocument/2006/relationships/hyperlink" Target="https://www.gov.uk/government/publications/open-standards-principles" TargetMode="External"/><Relationship Id="rId19" Type="http://schemas.openxmlformats.org/officeDocument/2006/relationships/hyperlink" Target="https://www.gov.uk/government/publications/government-digital-strategy" TargetMode="External"/><Relationship Id="rId4" Type="http://schemas.openxmlformats.org/officeDocument/2006/relationships/settings" Target="settings.xml"/><Relationship Id="rId9" Type="http://schemas.openxmlformats.org/officeDocument/2006/relationships/hyperlink" Target="https://www.gov.uk/government/publications/greening-government-sustainable-technology-strategy-2020" TargetMode="External"/><Relationship Id="rId14" Type="http://schemas.openxmlformats.org/officeDocument/2006/relationships/hyperlink" Target="https://www.gov.uk/government/collections/secure-by-design" TargetMode="External"/><Relationship Id="rId22" Type="http://schemas.openxmlformats.org/officeDocument/2006/relationships/hyperlink" Target="http://www.legislation.gov.uk/ukpga/2015/30/section/54/enacted"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3" Type="http://schemas.openxmlformats.org/officeDocument/2006/relationships/hyperlink" Target="https://gov.wales/topics/improvingservices/bettervfm/publications/community-benefits-2014/?lang=en" TargetMode="External"/><Relationship Id="rId2" Type="http://schemas.openxmlformats.org/officeDocument/2006/relationships/hyperlink" Target="https://www.legislation.gov.uk/asp/2014/12/contents" TargetMode="External"/><Relationship Id="rId1" Type="http://schemas.openxmlformats.org/officeDocument/2006/relationships/hyperlink" Target="https://www.legislation.gov.uk/ukpga/2012/3/content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Qb4HaF6gCAwl2SO8voMhyl7yvfQ==">AMUW2mXepAs6K8eej0T1eHG1Wx5M2KM2RYsSb/5gbcHJgx+8UTDtinMiCHvnkW58Ipkj61QozRHiwcFcn8IK1imvU2AThkj0+r2pqfrIhONIS0XN+LxB2OsM9msY5JI6sgl02+jlTAYBxs9APKAyZD95fQDxSP5ahTJ5Yc/QvD3o3FDygFEKj5foqMVQ3OumuW9lQ727TAPE9HZgA9M/6fKB3V0AZs/2DfWBJSIZ1LBZgZOFMyCl3qSTQz5kG2Rbjt6XDLJCRPupQUVxn63tGj9D9XZlTYH1OcoEKzzsUg0wWRpyZa4X0ue20R8D5rsfILQgZIS3cE0U</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21</Pages>
  <Words>4875</Words>
  <Characters>27789</Characters>
  <Application>Microsoft Office Word</Application>
  <DocSecurity>0</DocSecurity>
  <Lines>231</Lines>
  <Paragraphs>65</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32599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Rachel Butlin</dc:creator>
  <cp:lastModifiedBy>Richard Landor</cp:lastModifiedBy>
  <cp:revision>2</cp:revision>
  <dcterms:created xsi:type="dcterms:W3CDTF">2021-03-26T14:47:00Z</dcterms:created>
  <dcterms:modified xsi:type="dcterms:W3CDTF">2021-03-26T14:47:00Z</dcterms:modified>
</cp:coreProperties>
</file>